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73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73</w:t>
      </w:r>
    </w:p>
    <w:p>
      <w:pPr>
        <w:spacing w:after="120"/>
        <w:ind w:firstLine="709"/>
      </w:pPr>
      <w:r>
        <w:rPr>
          <w:sz w:val="24"/>
        </w:rPr>
        <w:t xml:space="preserve">- Кредитор (должник или его участник) оспаривает признание должника банкротом и открытие конкурсного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1. К компетенции первого собрания кредиторов относятся:</w:t>
      </w:r>
    </w:p>
    <w:p>
      <w:pPr>
        <w:spacing w:after="120"/>
        <w:ind w:firstLine="709"/>
      </w:pPr>
      <w:r>
        <w:rPr>
          <w:sz w:val="24"/>
        </w:rPr>
        <w:t xml:space="preserve">принятие решения о введении финансового оздоровления и об обращении в арбитражный суд с соответствующим ходатайством;</w:t>
      </w:r>
    </w:p>
    <w:p>
      <w:pPr>
        <w:spacing w:after="120"/>
        <w:ind w:firstLine="709"/>
      </w:pPr>
      <w:r>
        <w:rPr>
          <w:sz w:val="24"/>
        </w:rPr>
        <w:t xml:space="preserve">принятие решения о введении внешнего управления и об обращении в арбитражный суд с соответствующим ходатайством;</w:t>
      </w:r>
    </w:p>
    <w:p>
      <w:pPr>
        <w:spacing w:after="120"/>
        <w:ind w:firstLine="709"/>
      </w:pPr>
      <w:r>
        <w:rPr>
          <w:sz w:val="24"/>
        </w:rPr>
        <w:t xml:space="preserve">принятие решения об обращении в арбитражный суд с ходатайством о признании должника банкротом и об открытии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образование комитета кредиторов, определение количественного состава и полномочий комитета кредиторов, избрание членов комитета кредиторов;</w:t>
      </w:r>
    </w:p>
    <w:p>
      <w:pPr>
        <w:spacing w:after="120"/>
        <w:ind w:firstLine="709"/>
      </w:pPr>
      <w:r>
        <w:rPr>
          <w:sz w:val="24"/>
        </w:rPr>
        <w:t xml:space="preserve">определение дополнительных требований к кандидатурам административного управляющего, внешнего управляющего, конкурсного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определение кандидатуры арбитражного управляющего или саморегулируемой организации, из числа членов которой должен быть утвержден арбитражный управляющий;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выбор реестродержателя из числа реестродержателей, аккредитованных саморегулируемой организацией;</w:t>
      </w:r>
    </w:p>
    <w:p>
      <w:pPr>
        <w:spacing w:after="120"/>
        <w:ind w:firstLine="709"/>
      </w:pPr>
      <w:r>
        <w:rPr>
          <w:sz w:val="24"/>
        </w:rPr>
        <w:t xml:space="preserve">решение иных предусмотренных настоящим Федеральным законом вопросов.</w:t>
      </w:r>
    </w:p>
    <w:p>
      <w:pPr>
        <w:spacing w:after="120"/>
        <w:ind w:firstLine="709"/>
      </w:pPr>
      <w:r>
        <w:rPr>
          <w:sz w:val="24"/>
        </w:rPr>
        <w:t xml:space="preserve">2. Собрание кредиторов, принявшее решение об обращении в арбитражный суд с ходатайством о введении финансового оздоровления, введении внешнего управления или признании должника банкротом и об открытии конкурсного производства, вправе сформулировать дополнительные требования к кандидатурам административного управляющего, внешнего управляющего, конкурсного управляющего и направить в саморегулируемую организацию запрос о представлении кандидатур таких управляющих.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случае, если собрание кредиторов, рассматривающее вопросы, отнесенные настоящей статьей к компетенции первого собрания кредиторов, созывается после завершения наблюдения, к такому собранию применяются нормы настоящего Федерального закона, относящиеся к первому собранию кредиторов.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29.12.2014 N 482-ФЗ)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73</dc:title>
  <dc:creator>АРБИТРАЖ! · arbi.ru</dc:creator>
  <cp:lastModifiedBy>АРБИТРАЖ!</cp:lastModifiedBy>
  <dcterms:created xsi:type="dcterms:W3CDTF">2026-10-22T20:17:10.510Z</dcterms:created>
</cp:coreProperties>
</file>