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74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30.12.2008 N 296-ФЗ)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74</w:t>
      </w:r>
    </w:p>
    <w:p>
      <w:pPr>
        <w:spacing w:after="120"/>
        <w:ind w:firstLine="709"/>
      </w:pPr>
      <w:r>
        <w:rPr>
          <w:sz w:val="24"/>
        </w:rPr>
        <w:t xml:space="preserve">- Кредитор (должник или его участник) оспаривает признание должника банкротом и открытие конкурсного производства</w:t>
      </w:r>
    </w:p>
    <w:p>
      <w:pPr>
        <w:spacing w:after="120"/>
        <w:ind w:firstLine="709"/>
      </w:pPr>
      <w:r>
        <w:rPr>
          <w:sz w:val="24"/>
        </w:rPr>
        <w:t xml:space="preserve">1. Решение первого собрания кредиторов о введении финансового оздоровления должно содержать предлагаемый срок финансового оздоровления, утвержденные план финансового оздоровления и график погашения задолженности.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30.12.2008 N 296-ФЗ)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Решение первого собрания кредиторов о введении внешнего управления должно содержать предлагаемый срок внешнего управления.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30.12.2008 N 296-ФЗ)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В решении первого собрания кредиторов об обращении в арбитражный суд с ходатайством о признании должника банкротом и об открытии конкурсного производства также может содержаться предлагаемый срок конкурсного производства.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30.12.2008 N 296-ФЗ)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Решение первого собрания кредиторов о заключении мирового соглашения должно содержать сведения, предусмотренные статьей 151 настоящего Федерального закона.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74</dc:title>
  <dc:creator>АРБИТРАЖ! · arbi.ru</dc:creator>
  <cp:lastModifiedBy>АРБИТРАЖ!</cp:lastModifiedBy>
  <dcterms:created xsi:type="dcterms:W3CDTF">2026-10-22T22:30:51.001Z</dcterms:created>
</cp:coreProperties>
</file>