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согласованию с должником ходатайство о введении финансового оздоровления может быть подано третьим лицом или третьими лицами. Указанное ходатайство должно содержать сведения о предлагаемом обеспечении третьим лицом или третьими лицами исполнения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2. К ходатайству о введении финансового оздоровления прилагаются:</w:t>
      </w:r>
    </w:p>
    <w:p>
      <w:pPr>
        <w:spacing w:after="120"/>
        <w:ind w:firstLine="709"/>
      </w:pPr>
      <w:r>
        <w:rPr>
          <w:sz w:val="24"/>
        </w:rPr>
        <w:t xml:space="preserve">график погашения задолженности, подписанный уполномоченным лицом;</w:t>
      </w:r>
    </w:p>
    <w:p>
      <w:pPr>
        <w:spacing w:after="120"/>
        <w:ind w:firstLine="709"/>
      </w:pPr>
      <w:r>
        <w:rPr>
          <w:sz w:val="24"/>
        </w:rPr>
        <w:t xml:space="preserve">документы о предлагаемом третьим лицом или третьими лицами обеспечении исполнения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78</dc:title>
  <dc:creator>АРБИТРАЖ! · arbi.ru</dc:creator>
  <cp:lastModifiedBy>АРБИТРАЖ!</cp:lastModifiedBy>
  <dcterms:created xsi:type="dcterms:W3CDTF">2026-10-22T16:45:30.554Z</dcterms:created>
</cp:coreProperties>
</file>