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согласованию с должником ходатайство о введении финансового оздоровления может быть подано третьим лицом или третьими лицами. Указанное ходатайство должно содержать сведения о предлагаемом обеспечении третьим лицом или третьими лицами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К ходатайству о введении финансового оздоровления прилагаются:</w:t>
      </w:r>
    </w:p>
    <w:p>
      <w:pPr>
        <w:spacing w:after="120"/>
        <w:ind w:firstLine="709"/>
      </w:pPr>
      <w:r>
        <w:rPr>
          <w:sz w:val="24"/>
        </w:rPr>
        <w:t xml:space="preserve">график погашения задолженности, подписанный уполномоченным лицом;</w:t>
      </w:r>
    </w:p>
    <w:p>
      <w:pPr>
        <w:spacing w:after="120"/>
        <w:ind w:firstLine="709"/>
      </w:pPr>
      <w:r>
        <w:rPr>
          <w:sz w:val="24"/>
        </w:rPr>
        <w:t xml:space="preserve">документы о предлагаемом третьим лицом или третьими лицами обеспечении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78</dc:title>
  <dc:creator>АРБИТРАЖ! · arbi.ru</dc:creator>
  <cp:lastModifiedBy>АРБИТРАЖ!</cp:lastModifiedBy>
  <dcterms:created xsi:type="dcterms:W3CDTF">2026-10-22T20:14:25.001Z</dcterms:created>
</cp:coreProperties>
</file>