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Исполнение должником обязательств в соответствии с графиком погашения задолженности может быть обеспечено залогом (ипотекой), независимой гарантией, государственной или муниципальной гарантией, поручительством, а также иными способами , не противоречащими настоящему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Исполнение должником обязательств в соответствии с графиком погашения задолженности не может быть обеспечено удержанием, задатком или неустойкой.</w:t>
      </w:r>
    </w:p>
    <w:p>
      <w:pPr>
        <w:spacing w:after="120"/>
        <w:ind w:firstLine="709"/>
      </w:pPr>
      <w:r>
        <w:rPr>
          <w:sz w:val="24"/>
        </w:rPr>
        <w:t xml:space="preserve">В качестве предмета обеспечения исполнения должником обязательств в соответствии с графиком погашения задолженности не могут выступать имущество и имущественные права, принадлежащие должнику на праве собственности или праве хозяйственного ведения.</w:t>
      </w:r>
    </w:p>
    <w:p>
      <w:pPr>
        <w:spacing w:after="120"/>
        <w:ind w:firstLine="709"/>
      </w:pPr>
      <w:r>
        <w:rPr>
          <w:sz w:val="24"/>
        </w:rPr>
        <w:t xml:space="preserve">2. Права и обязанности лица или лиц, предоставивших обеспечение исполнения должником обязательств в соответствии с графиком погашения задолженности, вытекают из указанного обеспечения и возникают с даты вынесения арбитражным судом определения о введении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3. Соглашение об обеспечении обязательств должника в соответствии с графиком погашения задолженности заключается в письменной форме до дня принятия решения о введении финансового оздоровления и подписывается лицом или лицами, предоставившими обеспечение, а также временным управляющим в интересах кредиторов.</w:t>
      </w:r>
    </w:p>
    <w:p>
      <w:pPr>
        <w:spacing w:after="120"/>
        <w:ind w:firstLine="709"/>
      </w:pPr>
      <w:r>
        <w:rPr>
          <w:sz w:val="24"/>
        </w:rPr>
        <w:t xml:space="preserve">Соглашение об обеспечении обязательств должника в соответствии с графиком погашения задолженности, а также сделки во исполнение указанного соглашения, заключенные ранее введения арбитражным судом в отношении должника финансового оздоровления, вступают в силу одновременно с вынесением определения о введении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Лицо или лица, предоставившие обеспечение исполнения должником обязательств в соответствии с графиком погашения задолженности, несут ответственность за неисполнение должником указанных обязательств в пределах стоимости имущества и имущественных прав, представленных в качестве обеспечения исполнения должником указанных обязательств.</w:t>
      </w:r>
    </w:p>
    <w:p>
      <w:pPr>
        <w:spacing w:after="120"/>
        <w:ind w:firstLine="709"/>
      </w:pPr>
      <w:r>
        <w:rPr>
          <w:sz w:val="24"/>
        </w:rPr>
        <w:t xml:space="preserve">5. При обеспечении исполнения должником обязательств в соответствии с графиком погашения задолженности банковской гарантией требования к гаранту предъявляются арбитражным управляющим в деле о банкротстве в интересах кредиторов, требования которых подлежат удовлетворению в соответствии с утвержденным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обеспечении исполнения должником обязательств в соответствии с графиком погашения задолженности ипотекой государственная регистрация ипотеки проводится не позднее чем через сорок пять дней с даты введения финансового оздоровления на основании определения арбитражного суда о введении финансового оздоровления и соглашения об обеспечении обязательств должника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6. Введение новой процедуры, применяемой в деле о банкротстве, в отношении должника не прекращает обязательства по обеспечению исполнения должником обязательств в соответствии с графиком погашения задолженности. В этом случае расчеты с кредиторами не производятся и денежные средства, вырученные от обращения взыскания на обеспечение, включаются в состав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79</dc:title>
  <dc:creator>АРБИТРАЖ! · arbi.ru</dc:creator>
  <cp:lastModifiedBy>АРБИТРАЖ!</cp:lastModifiedBy>
  <dcterms:created xsi:type="dcterms:W3CDTF">2026-10-22T21:57:38.797Z</dcterms:created>
</cp:coreProperties>
</file>