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План финансового оздоровления разрабатывается в случае отсутствия обеспечения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План финансового оздоровления, подготовленный учредителями (участниками) должника, собственником имущества должника - унитарного предприятия, утверждается собранием кредиторов. План финансового оздоровления должен содержать обоснование возможности удовлетворения требований кредиторов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График погашения задолженности подписывается лицом, уполномоченным на это учредителями (участниками) должника, собственником имущества должника - унитарного предприятия, и с даты утверждения графика погашения задолженности арбитражным судом возникает обязанность должника погасить задолженность должника перед кредиторами в установленные графиком сроки.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наличии обеспечения исполнения должником обязательств должника в соответствии с графиком погашения задолженности он подписывается также лицами, предоставившими такое обеспечение.</w:t>
      </w:r>
    </w:p>
    <w:p>
      <w:pPr>
        <w:spacing w:after="120"/>
        <w:ind w:firstLine="709"/>
      </w:pPr>
      <w:r>
        <w:rPr>
          <w:sz w:val="24"/>
        </w:rPr>
        <w:t xml:space="preserve">3. Графиком погашения задолженности должно предусматриваться погашение всех требований кредиторов, включенных в реестр требований кредиторов, не позднее чем за месяц до даты окончания срока финансового оздоровления, а также погашение требований кредиторов первой и второй очереди не позднее чем через шесть месяцев с даты введения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19.07.2009 N 195-ФЗ.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введения финансового оздоровления в порядке, установленном пунктами 2 или 3 статьи 75 настоящего Федерального закона, график погашения задолженности должен отвечать требованиям статьи 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4 ст. 84 применяется в соответствии с п. 8 ст. 231 данного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4. Графиком погашения задолженности должно быть предусмотрено пропорциональное погашение требований кредиторов в очередности, установленной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Должник вправе досрочно исполнить график погашения задолженности.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84</dc:title>
  <dc:creator>АРБИТРАЖ! · arbi.ru</dc:creator>
  <cp:lastModifiedBy>АРБИТРАЖ!</cp:lastModifiedBy>
  <dcterms:created xsi:type="dcterms:W3CDTF">2026-10-22T22:36:18.264Z</dcterms:created>
</cp:coreProperties>
</file>