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94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1. С даты введения внешнего управления:</w:t>
      </w:r>
    </w:p>
    <w:p>
      <w:pPr>
        <w:spacing w:after="120"/>
        <w:ind w:firstLine="709"/>
      </w:pPr>
      <w:r>
        <w:rPr>
          <w:sz w:val="24"/>
        </w:rPr>
        <w:t xml:space="preserve">прекращаются полномочия руководителя должника, управление делами должника возлагается на внешнего управляющего;</w:t>
      </w:r>
    </w:p>
    <w:p>
      <w:pPr>
        <w:spacing w:after="120"/>
        <w:ind w:firstLine="709"/>
      </w:pPr>
      <w:r>
        <w:rPr>
          <w:sz w:val="24"/>
        </w:rPr>
        <w:t xml:space="preserve">внешний управляющий вправе издать приказ об увольнении руководителя должника или предложить руководителю должника перейти на другую работу в порядке и на условиях, которые установлены трудовым законодательством ;</w:t>
      </w:r>
    </w:p>
    <w:p>
      <w:pPr>
        <w:spacing w:after="120"/>
        <w:ind w:firstLine="709"/>
      </w:pPr>
      <w:r>
        <w:rPr>
          <w:sz w:val="24"/>
        </w:rPr>
        <w:t xml:space="preserve">прекращаются полномочия органов управления должника и собственника имущества должника - унитарного предприятия, полномочия руководителя должника и иных органов управления должника переходят к внешнему управляющему, за исключением полномочий органов управления должника и собственника имущества должника - унитарного предприятия, предусмотренных пунктами 2 и 3 настоящей статьи. Органы управления должника, временный управляющий, административный управляющий в течение трех дней с даты утверждения внешнего управляющего обязаны обеспечить передачу бухгалтерской и иной документации должника, печатей и штампов, материальных и иных ценностей внешнему управляющему;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отменяются ранее принятые меры по обеспечению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аресты на имущество должника и иные ограничения должника в части распоряжения принадлежащим ему имуществом могут быть наложены исключительно в рамках процесса о банкротстве, за исключением арестов и иных ограничений, налагаемых в гражданском или арбитражном судопроизводстве либо исполнительном производстве в отношении взыскания задолженности по текущим платежам, истребования имущества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19.07.2009 N 195-ФЗ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вводится мораторий на удовлетворение требований кредиторов по денежным обязательствам и об уплате обязательных платежей, за исключением случаев, предусмотренных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 и об уплате обязательных платежей, за исключением текущих платежей, могут быть предъявлены к должнику только с соблюдением установленного настоящим Федеральным законом порядка предъявления требований к должнику.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должника в пределах компетенции, установленной федеральным законом, вправе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определении количества, номинальной стоимости объявленных акций;</w:t>
      </w:r>
    </w:p>
    <w:p>
      <w:pPr>
        <w:spacing w:after="120"/>
        <w:ind w:firstLine="709"/>
      </w:pPr>
      <w:r>
        <w:rPr>
          <w:sz w:val="24"/>
        </w:rPr>
        <w:t xml:space="preserve">об увеличении уставного капитала акционерного общества путем размещения дополнительных обыкновенных акций;</w:t>
      </w:r>
    </w:p>
    <w:p>
      <w:pPr>
        <w:spacing w:after="120"/>
        <w:ind w:firstLine="709"/>
      </w:pPr>
      <w:r>
        <w:rPr>
          <w:sz w:val="24"/>
        </w:rPr>
        <w:t xml:space="preserve">об обращении с ходатайством к собранию кредиторов о включении в план внешнего управления возможности дополнительной эмиссии акций;</w:t>
      </w:r>
    </w:p>
    <w:p>
      <w:pPr>
        <w:spacing w:after="120"/>
        <w:ind w:firstLine="709"/>
      </w:pPr>
      <w:r>
        <w:rPr>
          <w:sz w:val="24"/>
        </w:rPr>
        <w:t xml:space="preserve">об определении порядка ведения общего собрания акционеров;</w:t>
      </w:r>
    </w:p>
    <w:p>
      <w:pPr>
        <w:spacing w:after="120"/>
        <w:ind w:firstLine="709"/>
      </w:pPr>
      <w:r>
        <w:rPr>
          <w:sz w:val="24"/>
        </w:rPr>
        <w:t xml:space="preserve">об обращении с ходатайством о продаже предприятия должника;</w:t>
      </w:r>
    </w:p>
    <w:p>
      <w:pPr>
        <w:spacing w:after="120"/>
        <w:ind w:firstLine="709"/>
      </w:pPr>
      <w:r>
        <w:rPr>
          <w:sz w:val="24"/>
        </w:rPr>
        <w:t xml:space="preserve">о замещении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об избрании представителя учредителей (участников) должника;</w:t>
      </w:r>
    </w:p>
    <w:p>
      <w:pPr>
        <w:spacing w:after="120"/>
        <w:ind w:firstLine="709"/>
      </w:pPr>
      <w:r>
        <w:rPr>
          <w:sz w:val="24"/>
        </w:rPr>
        <w:t xml:space="preserve">о заключении соглашения между третьим лицом или третьими лицами и органами управления должника, уполномоченными в соответствии с учредительными документами принимать решение о заключении крупных сделок, об условиях предоставления денежных средств для исполнения обязательств должника;</w:t>
      </w:r>
    </w:p>
    <w:p>
      <w:pPr>
        <w:spacing w:after="120"/>
        <w:ind w:firstLine="709"/>
      </w:pPr>
      <w:r>
        <w:rPr>
          <w:sz w:val="24"/>
        </w:rPr>
        <w:t xml:space="preserve">иные необходимые для размещения дополнительных обыкновенных акций должника решения.</w:t>
      </w:r>
    </w:p>
    <w:p>
      <w:pPr>
        <w:spacing w:after="120"/>
        <w:ind w:firstLine="709"/>
      </w:pPr>
      <w:r>
        <w:rPr>
          <w:sz w:val="24"/>
        </w:rPr>
        <w:t xml:space="preserve">Ходатайство органов управления должника о продаже предприятия должно содержать сведения о минимальной цене продажи предприятия должника.</w:t>
      </w:r>
    </w:p>
    <w:p>
      <w:pPr>
        <w:spacing w:after="120"/>
        <w:ind w:firstLine="709"/>
      </w:pPr>
      <w:r>
        <w:rPr>
          <w:sz w:val="24"/>
        </w:rPr>
        <w:t xml:space="preserve">Средства, затраченные на проведение собрания акционеров и заседания совета директоров (наблюдательного совета) иного органа управления должника, возмещаются за счет должника только в случае, если такая возможность предусмотрена планом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3. Собственник имущества должника - унитарного предприятия в пределах компетенции, установленной федеральным законом , вправе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об обращении с ходатайством о продаже предприятия должника;</w:t>
      </w:r>
    </w:p>
    <w:p>
      <w:pPr>
        <w:spacing w:after="120"/>
        <w:ind w:firstLine="709"/>
      </w:pPr>
      <w:r>
        <w:rPr>
          <w:sz w:val="24"/>
        </w:rPr>
        <w:t xml:space="preserve">о замещении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о заключении соглашения с третьим лицом или третьими лицами об условиях предоставления денежных средств для исполнения обязательств должника.</w:t>
      </w:r>
    </w:p>
    <w:p>
      <w:pPr>
        <w:spacing w:after="120"/>
        <w:ind w:firstLine="709"/>
      </w:pPr>
      <w:r>
        <w:rPr>
          <w:sz w:val="24"/>
        </w:rPr>
        <w:t xml:space="preserve">Ходатайство собственника имущества должника - унитарного предприятия о продаже предприятия должно содержать сведения о минимальной цене продажи предприятия должника.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30.12.2008 N 296-ФЗ)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94</dc:title>
  <dc:creator>АРБИТРАЖ! · arbi.ru</dc:creator>
  <cp:lastModifiedBy>АРБИТРАЖ!</cp:lastModifiedBy>
  <dcterms:created xsi:type="dcterms:W3CDTF">2026-10-22T07:52:07.382Z</dcterms:created>
</cp:coreProperties>
</file>