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95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1. Мораторий на удовлетворение требований кредиторов распространяется на денежные обязательства и обязательные платежи, за исключением текущих платежей.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течение срока действия моратория на удовлетворение требований кредиторов по денежным обязательствам и об уплате обязательных платежей, предусмотренных пунктом 1 настоящей статьи:</w:t>
      </w:r>
    </w:p>
    <w:p>
      <w:pPr>
        <w:spacing w:after="120"/>
        <w:ind w:firstLine="709"/>
      </w:pPr>
      <w:r>
        <w:rPr>
          <w:sz w:val="24"/>
        </w:rPr>
        <w:t xml:space="preserve">приостанавливается исполнение исполнительных документов по имущественным взысканиям, иных документов, взыскание по которым производится в бесспорном порядке, не допускается их принудительное исполнение, за исключением исполнения исполнительных документов, выданных на основании вступивших в законную силу до введения внешнего управления решений о взыскании задолженности по заработной плате, о выплате вознаграждений авторам результатов интеллектуальной деятельности, об истребовании имущества из чужого незаконного владения, о возмещении вреда, причиненного жизни или здоровью, о выплате компенсации сверх возмещения вреда, а также о взыскании задолженности по текущим платежам;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18.12.2006 N 231-ФЗ ,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начисляются неустойки (штрафы, пени) и иные финансовые санкции за неисполнение или ненадлежащее исполнение денежных обязательств и обязательных платежей, за исключением текущих платежей.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сумму требований конкурсного кредитора, уполномоченного органа в размере, установленном в соответствии со статьей 4 настоящего Федерального закона на дату введения внешнего управления, начисляются проценты в порядке и в размере,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Проценты на сумму требований конкурсного кредитора, уполномоченного органа, выраженных в валюте Российской Федерации, начисляются в размере ставки рефинансирования , установленной Центральным банком Российской Федерации на дату введения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Соглашением внешнего управляющего с конкурсным кредитором может быть предусмотрен меньший размер подлежащих уплате процентов или более короткий срок начисления процентов по сравнению с предусмотренными настоящей статьей такими размером или сроком.</w:t>
      </w:r>
    </w:p>
    <w:p>
      <w:pPr>
        <w:spacing w:after="120"/>
        <w:ind w:firstLine="709"/>
      </w:pPr>
      <w:r>
        <w:rPr>
          <w:sz w:val="24"/>
        </w:rPr>
        <w:t xml:space="preserve">Подлежащие начислению и уплате в соответствии с настоящей статьей проценты начисляются на сумму требований кредиторов каждой очереди с даты введения внешнего управления и до даты вынесения арбитражным судом определения о начале расчетов с кредиторами по требованиям кредиторов каждой очереди, либо до момента удовлетворения указанных требований должником или третьим лицом в ходе внешнего управления, либо до момента принятия решения 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Начисленные в соответствии с настоящей статьей проценты не учитываются при определении количества голосов, принадлежащих конкурсному кредитору, уполномоченному органу на собраниях кредиторов.</w:t>
      </w:r>
    </w:p>
    <w:p>
      <w:pPr>
        <w:spacing w:after="120"/>
        <w:ind w:firstLine="709"/>
      </w:pPr>
      <w:r>
        <w:rPr>
          <w:sz w:val="24"/>
        </w:rPr>
        <w:t xml:space="preserve">Уплата начисленных в соответствии с настоящей статьей процентов осуществляется одновременно с удовлетворением требований кредиторов по денежным обязательствам и об уплате обязательных платежей в порядке, установленном статьей 121 настоящего Федерального закона. Если такое удовлетворение не произошло до даты принятия решения о признании должника банкротом и об открытии конкурсного производства, уплата начисленных процентов осуществляется одновременно с удовлетворением требований кредиторов по денежным обязательствам и об уплате обязательных платежей в порядке очередности , установленной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Мораторий на удовлетворение требований кредиторов распространяется также на требования кредиторов о возмещении убытков, связанных с отказом внешнего управляющего от исполнения договоров должника.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Мораторий на удовлетворение требований кредиторов не распространяется на требования о взыскании задолженности по заработной плате, выплате вознаграждений авторам результатов интеллектуальной деятельности, о возмещении вреда, причиненного жизни или здоровью, о выплате компенсации сверх возмещения вреда.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18.12.2006 N 231-ФЗ ,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95</dc:title>
  <dc:creator>АРБИТРАЖ! · arbi.ru</dc:creator>
  <cp:lastModifiedBy>АРБИТРАЖ!</cp:lastModifiedBy>
  <dcterms:created xsi:type="dcterms:W3CDTF">2026-10-22T20:19:24.904Z</dcterms:created>
</cp:coreProperties>
</file>