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утверждается арбитражным судом одновременно с введением внешнего управления, за исключением случаев,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До даты утверждения внешнего управляющего арбитражный суд возлагает исполнение обязанностей и осуществление прав внешнего управляющего, установленных настоящим Федеральным законом, за исключением составления плана внешнего управления, на лицо, исполнявшее обязанности временного управляющего, административного управляющего или конкурсного управляющего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утверждении внешнего управляющего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Определение об утверждении внешнего управляющего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4. Определение об утверждении внешнего управляющего может быть обжаловано. Обжалование определения об утверждении внешнего управляющего не влечет за собой приостановление его исполнения.</w:t>
      </w:r>
    </w:p>
    <w:p>
      <w:pPr>
        <w:spacing w:after="120"/>
        <w:ind w:firstLine="709"/>
      </w:pPr>
      <w:r>
        <w:rPr>
          <w:sz w:val="24"/>
        </w:rPr>
        <w:t xml:space="preserve">5. Внешний управляющий утверждается арбитражным судом в порядке, предусмотренном статьей 45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96</dc:title>
  <dc:creator>АРБИТРАЖ! · arbi.ru</dc:creator>
  <cp:lastModifiedBy>АРБИТРАЖ!</cp:lastModifiedBy>
  <dcterms:created xsi:type="dcterms:W3CDTF">2026-10-22T20:07:13.659Z</dcterms:created>
</cp:coreProperties>
</file>