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может быть освобожден арбитражным судом от исполнения возложенных на него обязанностей в деле о банкротстве:</w:t>
      </w:r>
    </w:p>
    <w:p>
      <w:pPr>
        <w:spacing w:after="120"/>
        <w:ind w:firstLine="709"/>
      </w:pPr>
      <w:r>
        <w:rPr>
          <w:sz w:val="24"/>
        </w:rPr>
        <w:t xml:space="preserve">по заявлению внешнего управляющего;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ходатайства саморегулируемой организации арбитражных управляющих, принятого этой организацией в соответствии с пунктом 2 статьи 20.5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Определение арбитражного суда об освобождении внешнего управляющего от исполнения обязанностей внешнего управляющего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3. Внешний управляющий, освобожденный от исполнения обязанностей внешнего управляющего, обязан обеспечить передачу бухгалтерской и иной документации должника, печатей и штампов, материальных и иных ценностей в течение трех дней вновь утвержденному внешнему управляющему.</w:t>
      </w:r>
    </w:p>
    <w:p>
      <w:pPr>
        <w:spacing w:after="120"/>
        <w:ind w:firstLine="709"/>
      </w:pPr>
      <w:r>
        <w:rPr>
          <w:sz w:val="24"/>
        </w:rPr>
        <w:t xml:space="preserve">4. В случае освобождения внешнего управляющего арбитражный суд утверждает нового внешнего управляющего в порядке, предусмотренном статьей 96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97</dc:title>
  <dc:creator>АРБИТРАЖ! · arbi.ru</dc:creator>
  <cp:lastModifiedBy>АРБИТРАЖ!</cp:lastModifiedBy>
  <dcterms:created xsi:type="dcterms:W3CDTF">2026-10-23T15:23:51.624Z</dcterms:created>
</cp:coreProperties>
</file>