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98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Внешний управляющий может быть отстранен арбитражным судом от исполнения обязанностей внешнего управляющего:</w:t>
      </w:r>
    </w:p>
    <w:p>
      <w:pPr>
        <w:spacing w:after="120"/>
        <w:ind w:firstLine="709"/>
      </w:pPr>
      <w:r>
        <w:rPr>
          <w:sz w:val="24"/>
        </w:rPr>
        <w:t xml:space="preserve">на основании решения собрания кредиторов об обращении в арбитражный суд с ходатайством в случае неисполнения или ненадлежащего исполнения внешним управляющим возложенных на него обязанностей или невыполнения предусмотренных планом внешнего управления мер по восстановлению платежеспособности;</w:t>
      </w:r>
    </w:p>
    <w:p>
      <w:pPr>
        <w:spacing w:after="120"/>
        <w:ind w:firstLine="709"/>
      </w:pPr>
      <w:r>
        <w:rPr>
          <w:sz w:val="24"/>
        </w:rPr>
        <w:t xml:space="preserve">в связи с удовлетворением арбитражным судом жалобы лица, участвующего в деле о банкротстве, на неисполнение или ненадлежащее исполнение внешним управляющим возложенных на него обязанностей при условии, что такое неисполнение или ненадлежащее исполнение обязанностей нарушило права или законные интересы заявителя жалобы, а также повлекло или могло повлечь за собой убытки должника или его кредиторов;</w:t>
      </w:r>
    </w:p>
    <w:p>
      <w:pPr>
        <w:spacing w:after="120"/>
        <w:ind w:firstLine="709"/>
      </w:pPr>
      <w:r>
        <w:rPr>
          <w:sz w:val="24"/>
        </w:rPr>
        <w:t xml:space="preserve">в случае выявления обстоятельств , препятствовавших утверждению лица внешним управляющим, а также в случае, если такие обстоятельства возникли после утверждения лица внешним управляющим;</w:t>
      </w:r>
    </w:p>
    <w:p>
      <w:pPr>
        <w:spacing w:after="120"/>
        <w:ind w:firstLine="709"/>
      </w:pPr>
      <w:r>
        <w:rPr>
          <w:sz w:val="24"/>
        </w:rPr>
        <w:t xml:space="preserve">на основании ходатайства саморегулируемой организации арбитражных управляющих в случае исключения арбитражного управляющего из саморегулируемой организации в связи с нарушением арбитражным управляющим условий членства в саморегулируемой организации, нарушения арбитражным управляющим требований настоящего Федерального закона, других федеральных законов, иных нормативных правовых актов Российской Федерации, федеральных стандартов, стандартов и правил профессиональной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на основании ходатайства саморегулируемой организации арбитражных управляющих в случае применения к арбитражному управляющему административного наказания в виде дисквалификации за совершение административного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01.12.2014 N 405-ФЗ)</w:t>
      </w:r>
    </w:p>
    <w:p>
      <w:pPr>
        <w:spacing w:after="120"/>
        <w:ind w:firstLine="709"/>
      </w:pPr>
      <w:r>
        <w:rPr>
          <w:sz w:val="24"/>
        </w:rPr>
        <w:t xml:space="preserve">в иных предусмотренных федеральным законом случаях.</w:t>
      </w:r>
    </w:p>
    <w:p>
      <w:pPr>
        <w:spacing w:after="120"/>
        <w:ind w:firstLine="709"/>
      </w:pPr>
      <w:r>
        <w:rPr>
          <w:sz w:val="24"/>
        </w:rPr>
        <w:t xml:space="preserve">2. Определение арбитражного суда об отстранении внешнего управляющего от исполнения обязанностей внешнего управляющего подлежит немедленному исполнению и может быть обжаловано. Обжалование определения арбитражного суда об отстранении внешнего управляющего не приостанавливает исполнение такого определения.</w:t>
      </w:r>
    </w:p>
    <w:p>
      <w:pPr>
        <w:spacing w:after="120"/>
        <w:ind w:firstLine="709"/>
      </w:pPr>
      <w:r>
        <w:rPr>
          <w:sz w:val="24"/>
        </w:rPr>
        <w:t xml:space="preserve">3. В случае отстранения внешнего управляющего арбитражный суд утверждает нового внешнего управляющего в порядке, установленном статьей 96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Внешний управляющий, отстраненный от исполнения обязанностей внешнего управляющего, обязан обеспечить передачу бухгалтерской и иной документации должника, печатей и штампов, материальных и иных ценностей вновь утвержденному внешнему управляющему в течение трех дней с момента его утверждения.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98</dc:title>
  <dc:creator>АРБИТРАЖ! · arbi.ru</dc:creator>
  <cp:lastModifiedBy>АРБИТРАЖ!</cp:lastModifiedBy>
  <dcterms:created xsi:type="dcterms:W3CDTF">2026-10-22T23:05:10.340Z</dcterms:created>
</cp:coreProperties>
</file>