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имеет право:</w:t>
      </w:r>
    </w:p>
    <w:p>
      <w:pPr>
        <w:spacing w:after="120"/>
        <w:ind w:firstLine="709"/>
      </w:pPr>
      <w:r>
        <w:rPr>
          <w:sz w:val="24"/>
        </w:rPr>
        <w:t xml:space="preserve">распоряжаться имуществом должника в соответствии с планом внешнего управления с ограничениями, предусмотренными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заключать от имени должника мировое соглашение;</w:t>
      </w:r>
    </w:p>
    <w:p>
      <w:pPr>
        <w:spacing w:after="120"/>
        <w:ind w:firstLine="709"/>
      </w:pPr>
      <w:r>
        <w:rPr>
          <w:sz w:val="24"/>
        </w:rPr>
        <w:t xml:space="preserve">заявлять отказ от исполнения договоров должника в соответствии со статьей 102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подавать в арбитражный суд от имени должника иски и заявления о признании недействительными сделок и решений, а также о применении последствий недействительности ничтожных сделок, заключенных или исполненных должником с нарушением требований настоящего Федерального закона, и заявлять требования о взыскании убытков, причиненных действиями (бездействием) членов коллегиальных органов управления должника, членов совета директоров (наблюдательного совета), единоличного исполнительного органа, собственника имущества должника, лицами, действовавшими от имени должника в соответствии с доверенностью, иными лицами, действовавшими в соответствии с учредительными документами должника;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28.04.2009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предусмотренные настоящим Федеральным законом действия.</w:t>
      </w:r>
    </w:p>
    <w:p>
      <w:pPr>
        <w:spacing w:after="120"/>
        <w:ind w:firstLine="709"/>
      </w:pPr>
      <w:r>
        <w:rPr>
          <w:sz w:val="24"/>
        </w:rPr>
        <w:t xml:space="preserve">2. Внешний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принять в управление имущество должника и провести его инвентаризацию;</w:t>
      </w:r>
    </w:p>
    <w:p>
      <w:pPr>
        <w:spacing w:after="120"/>
        <w:ind w:firstLine="709"/>
      </w:pPr>
      <w:r>
        <w:rPr>
          <w:sz w:val="24"/>
        </w:rPr>
        <w:t xml:space="preserve">в течение трех рабочих дней с даты окончания инвентаризации имущества должника включить в Единый федеральный реестр сведений о банкротстве сведения о результатах такой инвентаризации;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28.07.2012 N 144-ФЗ)</w:t>
      </w:r>
    </w:p>
    <w:p>
      <w:pPr>
        <w:spacing w:after="120"/>
        <w:ind w:firstLine="709"/>
      </w:pPr>
      <w:r>
        <w:rPr>
          <w:sz w:val="24"/>
        </w:rPr>
        <w:t xml:space="preserve">разработать план внешнего управления и представить его для утверждения собранию кредиторов;</w:t>
      </w:r>
    </w:p>
    <w:p>
      <w:pPr>
        <w:spacing w:after="120"/>
        <w:ind w:firstLine="709"/>
      </w:pPr>
      <w:r>
        <w:rPr>
          <w:sz w:val="24"/>
        </w:rPr>
        <w:t xml:space="preserve">вести бухгалтерский, финансовый, статистический учет и отчетность;</w:t>
      </w:r>
    </w:p>
    <w:p>
      <w:pPr>
        <w:spacing w:after="120"/>
        <w:ind w:firstLine="709"/>
      </w:pPr>
      <w:r>
        <w:rPr>
          <w:sz w:val="24"/>
        </w:rPr>
        <w:t xml:space="preserve">заявлять в установленном порядке возражения относительно предъявленных к должнику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принимать меры по взысканию задолженности перед должником;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реализовывать мероприятия, предусмотренные планом внешнего управления, в порядке и на условиях, которые установлены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информировать комитет кредиторов о реализации мероприятий, предусмотренных планом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представить собранию кредиторов отчет об итогах реализации плана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предусмотренные настоящим Федеральным законом полномочия.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99</dc:title>
  <dc:creator>АРБИТРАЖ! · arbi.ru</dc:creator>
  <cp:lastModifiedBy>АРБИТРАЖ!</cp:lastModifiedBy>
  <dcterms:created xsi:type="dcterms:W3CDTF">2026-10-22T11:22:48.524Z</dcterms:created>
</cp:coreProperties>
</file>