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104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если размер денежных обязательств должника, возникших после введения внешнего управления, превышает на двадцать процентов размер требований конкурсных кредиторов, включенных в реестр требований кредиторов, сделки, влекущие за собой новые денежные обязательства должника, за исключением сделок, предусмотренных планом внешнего управления, могут совершаться внешним управляющим только с согласия собрания кредиторов (комитета кредиторов).</w:t>
      </w:r>
    </w:p>
    <w:p>
      <w:pPr>
        <w:spacing w:after="120"/>
        <w:ind w:firstLine="709"/>
      </w:pPr>
      <w:r>
        <w:rPr>
          <w:sz w:val="24"/>
        </w:rPr>
        <w:t xml:space="preserve">2. Сделки, совершенные с нарушением пункта 1 настоящей статьи, могут быть признаны судом недействительными по заявлению конкурсного кредитора или уполномоченного органа, а в случае, если данные сделки были совершены лицом, ранее исполнявшим права и обязанности внешнего управляющего должника, по заявлению вновь утвержденного внешнего управляющего.</w:t>
      </w:r>
    </w:p>
    <w:p>
      <w:pPr>
        <w:spacing w:after="120"/>
        <w:ind w:firstLine="709"/>
      </w:pPr>
      <w:r>
        <w:rPr>
          <w:sz w:val="24"/>
        </w:rPr>
        <w:t xml:space="preserve">Сделка, совершенная внешним управляющим с нарушением пункта 1 настоящей статьи, может быть признана судом недействительной, если будет доказано, что другая сторона в сделке знала или не могла не знать о таком нарушении.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104</dc:title>
  <dc:creator>АРБИТРАЖ! · arbi.ru</dc:creator>
  <cp:lastModifiedBy>АРБИТРАЖ!</cp:lastModifiedBy>
  <dcterms:created xsi:type="dcterms:W3CDTF">2026-10-22T12:18:07.155Z</dcterms:created>
</cp:coreProperties>
</file>