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Решения, влекущие за собой увеличение расходов должника, не предусмотренных планом внешнего управления, могут быть приняты внешним управляющим только с согласия собрания кредиторов (комитета кредиторов), за исключением случаев, предусмотренных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105</dc:title>
  <dc:creator>АРБИТРАЖ! · arbi.ru</dc:creator>
  <cp:lastModifiedBy>АРБИТРАЖ!</cp:lastModifiedBy>
  <dcterms:created xsi:type="dcterms:W3CDTF">2026-10-22T21:58:41.970Z</dcterms:created>
</cp:coreProperties>
</file>