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 позднее чем через месяц с даты своего утверждения внешний управляющий обязан разработать план внешнего управления и представить его собранию кредиторов для утверждения.</w:t>
      </w:r>
    </w:p>
    <w:p>
      <w:pPr>
        <w:spacing w:after="120"/>
        <w:ind w:firstLine="709"/>
      </w:pPr>
      <w:r>
        <w:rPr>
          <w:sz w:val="24"/>
        </w:rPr>
        <w:t xml:space="preserve">План внешнего управления должен предусматривать меры по восстановлению платежеспособности должника, условия и порядок реализации указанных мер, расходы на их реализацию и иные расходы должника.</w:t>
      </w:r>
    </w:p>
    <w:p>
      <w:pPr>
        <w:spacing w:after="120"/>
        <w:ind w:firstLine="709"/>
      </w:pPr>
      <w:r>
        <w:rPr>
          <w:sz w:val="24"/>
        </w:rPr>
        <w:t xml:space="preserve">Платежеспособность должника признается восстановленной при отсутствии признаков банкротства, установленных статьей 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План внешнего управления должен:</w:t>
      </w:r>
    </w:p>
    <w:p>
      <w:pPr>
        <w:spacing w:after="120"/>
        <w:ind w:firstLine="709"/>
      </w:pPr>
      <w:r>
        <w:rPr>
          <w:sz w:val="24"/>
        </w:rPr>
        <w:t xml:space="preserve">соответствовать требованиям, установленным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предусматривать срок восстановления платежеспособности должника;</w:t>
      </w:r>
    </w:p>
    <w:p>
      <w:pPr>
        <w:spacing w:after="120"/>
        <w:ind w:firstLine="709"/>
      </w:pPr>
      <w:r>
        <w:rPr>
          <w:sz w:val="24"/>
        </w:rPr>
        <w:t xml:space="preserve">содержать обоснование возможности восстановления платежеспособности должника в установленный срок.</w:t>
      </w:r>
    </w:p>
    <w:p>
      <w:pPr>
        <w:spacing w:after="120"/>
        <w:ind w:firstLine="709"/>
      </w:pPr>
      <w:r>
        <w:rPr>
          <w:sz w:val="24"/>
        </w:rPr>
        <w:t xml:space="preserve">3. План внешнего управления должен предусматривать разграничение компетенции между собранием кредиторов и комитетом кредиторов в части утверждения сделок должника, если такое разграничение не установлено собранием кредиторов или имеются основания для перераспределения компетенции между собранием кредиторов и комитетом кредиторов.</w:t>
      </w:r>
    </w:p>
    <w:p>
      <w:pPr>
        <w:spacing w:after="120"/>
        <w:ind w:firstLine="709"/>
      </w:pPr>
      <w:r>
        <w:rPr>
          <w:sz w:val="24"/>
        </w:rPr>
        <w:t xml:space="preserve">4. Внешний управляющий по требованию собрания кредиторов или комитета кредиторов отчитывается перед кредиторами о ходе внешнего управления и реализации плана внешнего 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106</dc:title>
  <dc:creator>АРБИТРАЖ! · arbi.ru</dc:creator>
  <cp:lastModifiedBy>АРБИТРАЖ!</cp:lastModifiedBy>
  <dcterms:created xsi:type="dcterms:W3CDTF">2026-10-22T08:40:56.000Z</dcterms:created>
</cp:coreProperties>
</file>