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Установленный арбитражным судом срок внешнего управления продлевается арбитражным судом в случае, если:</w:t>
      </w:r>
    </w:p>
    <w:p>
      <w:pPr>
        <w:spacing w:after="120"/>
        <w:ind w:firstLine="709"/>
      </w:pPr>
      <w:r>
        <w:rPr>
          <w:sz w:val="24"/>
        </w:rPr>
        <w:t xml:space="preserve">собранием кредиторов принято решение об утверждении или изменении плана внешнего управления, в котором предусмотрен срок внешнего управления, превышающий первоначально установленный срок, но не более чем максимальный срок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собранием кредиторов по результатам рассмотрения отчета внешнего управляющего в связи с итогами внешнего управления принято решение об обращении в арбитражный суд с ходатайством о продлении внешнего управления на срок, предусмотренный решением собрания кредиторов, но не более чем максимальный срок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2 ст. 108 (в ред. ФЗ от 29.05.2024 N 107-ФЗ) о порядке рассмотрения обособленных споров применяются к заявлениям, поданным после 29.05.2024, независимо от даты введения процедуры банкротства.</w:t>
      </w:r>
    </w:p>
    <w:p>
      <w:pPr>
        <w:spacing w:after="120"/>
        <w:ind w:firstLine="709"/>
      </w:pPr>
      <w:r>
        <w:rPr>
          <w:sz w:val="24"/>
        </w:rPr>
        <w:t xml:space="preserve">2. Внешнее управление не может быть продлено на срок, превышающий совокупный срок финансового оздоровления и внешнего управления, установленный пунктом 2 статьи 92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Вопрос о продлении срока внешнего управления рассматривается арбитражным судом в порядке 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108</dc:title>
  <dc:creator>АРБИТРАЖ! · arbi.ru</dc:creator>
  <cp:lastModifiedBy>АРБИТРАЖ!</cp:lastModifiedBy>
  <dcterms:created xsi:type="dcterms:W3CDTF">2026-10-22T22:30:03.003Z</dcterms:created>
</cp:coreProperties>
</file>