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111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расторгнуть договор купли-продажи имущества должника, заключенный на торгах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планом внешнего управления, после проведения инвентаризации, а также оценки имущества должника, если такая оценка проводилась по требованию конкурсного кредитора или уполномоченного органа в соответствии с настоящим Федеральным законом, внешний управляющий вправе приступить к продаже части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Продажа части имущества должника не должна приводить к невозможности осуществления должником своей хозяйственной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Продажа части имущества должника осуществляется в порядке, установленном пунктами 4 - 19 статьи 110 настоящего Федерального закона,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Продаже на торгах, проводимых в электронной форме , подлежат:</w:t>
      </w:r>
    </w:p>
    <w:p>
      <w:pPr>
        <w:spacing w:after="120"/>
        <w:ind w:firstLine="709"/>
      </w:pPr>
      <w:r>
        <w:rPr>
          <w:sz w:val="24"/>
        </w:rPr>
        <w:t xml:space="preserve">недвижимое имущество;</w:t>
      </w:r>
    </w:p>
    <w:p>
      <w:pPr>
        <w:spacing w:after="120"/>
        <w:ind w:firstLine="709"/>
      </w:pPr>
      <w:r>
        <w:rPr>
          <w:sz w:val="24"/>
        </w:rPr>
        <w:t xml:space="preserve">ценные бумаги;</w:t>
      </w:r>
    </w:p>
    <w:p>
      <w:pPr>
        <w:spacing w:after="120"/>
        <w:ind w:firstLine="709"/>
      </w:pPr>
      <w:r>
        <w:rPr>
          <w:sz w:val="24"/>
        </w:rPr>
        <w:t xml:space="preserve">имущественные права (включая цифровые права) и цифровые валюты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заложенное имущество;</w:t>
      </w:r>
    </w:p>
    <w:p>
      <w:pPr>
        <w:spacing w:after="120"/>
        <w:ind w:firstLine="709"/>
      </w:pPr>
      <w:r>
        <w:rPr>
          <w:sz w:val="24"/>
        </w:rPr>
        <w:t xml:space="preserve">предметы, имеющие историческую или художественную ценность;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7 п. 3 ст. 111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вещь, рыночная стоимость которой превышает пятьсот тысяч рублей, в том числе неделимая вещь, сложная вещь, главная вещь и вещь, связанная с ней общим назначением (принадлежность).</w:t>
      </w:r>
    </w:p>
    <w:p>
      <w:pPr>
        <w:spacing w:after="120"/>
        <w:ind w:firstLine="709"/>
      </w:pPr>
      <w:r>
        <w:rPr>
          <w:sz w:val="24"/>
        </w:rPr>
        <w:t xml:space="preserve">Регулирующим органом могут быть определены иные виды имущества (в том числе имущественных прав), подлежащие обязательной продаже на торгах, проводимых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01.01.2028 ст. 111 дополняется п. 3.1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4. Абзац утратил силу. - Федеральный закон от 28.07.2012 N 144-ФЗ.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4 ст. 111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Часть имущества должника, балансовая стоимость которого на последнюю отчетную дату до даты утверждения плана внешнего управления составляет менее чем сто тысяч рублей, продается в порядке, установленном планом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5. Действие положений настоящей статьи не распространяется на случаи реализации части имущества должника, которое является продукцией, изготовленной должником в процессе своей хозяйственной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6. Продажа части имущества должника, относящегося к производственному объекту, указанному в пункте 1 статьи 56.1 Федерального закона от 10 января 2002 года N 7-ФЗ "Об охране окружающей среды",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30.12.2021 N 446-ФЗ)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</dc:title>
  <dc:creator>АРБИТРАЖ! · arbi.ru</dc:creator>
  <cp:lastModifiedBy>АРБИТРАЖ!</cp:lastModifiedBy>
  <dcterms:created xsi:type="dcterms:W3CDTF">2026-10-22T23:29:44.178Z</dcterms:created>
</cp:coreProperties>
</file>