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Отчет внешнего управляющего подлежит обязательному рассмотрению арбитражным судом, за исключением случая, если отчет внешнего управляющего рассматривался собранием кредиторов по требованию лиц, имеющих право на созыв собрания кредиторов, и собрание кредиторов по результатам рассмотрения такого отчета не приняло ни одного из решений, предусмотренных пунктом 3 статьи 118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соответствии с настоящим Федеральным законом отчет внешнего управляющего подлежит обязательному рассмотрению собранием кредиторов, рассмотренный собранием кредиторов отчет внешнего управляющего и протокол собрания кредиторов направляются в арбитражный суд не позднее чем через пять дней с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К отчету внешнего управляющего должны быть приложены реестр требований кредиторов на дату проведения собрания кредиторов и жалобы кредиторов, голосовавших против принятого собранием кредиторов решения или не принимавших участия в голосовании.</w:t>
      </w:r>
    </w:p>
    <w:p>
      <w:pPr>
        <w:spacing w:after="120"/>
        <w:ind w:firstLine="709"/>
      </w:pPr>
      <w:r>
        <w:rPr>
          <w:sz w:val="24"/>
        </w:rPr>
        <w:t xml:space="preserve">3.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4. Отчет внешнего управляющего подлежит утверждению арбитражным судом в случае, если:</w:t>
      </w:r>
    </w:p>
    <w:p>
      <w:pPr>
        <w:spacing w:after="120"/>
        <w:ind w:firstLine="709"/>
      </w:pPr>
      <w:r>
        <w:rPr>
          <w:sz w:val="24"/>
        </w:rPr>
        <w:t xml:space="preserve">все требования кредиторов, включенные в реестр требований кредиторов, удовлетворены в соответствии с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принято решение о прекращении внешнего управления в связи с восстановлением платежеспособности должника и переходе к расчетам с кредиторами;</w:t>
      </w:r>
    </w:p>
    <w:p>
      <w:pPr>
        <w:spacing w:after="120"/>
        <w:ind w:firstLine="709"/>
      </w:pPr>
      <w:r>
        <w:rPr>
          <w:sz w:val="24"/>
        </w:rPr>
        <w:t xml:space="preserve">между кредиторами и должником заключено мировое соглашение;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принято решение о продлении срока внешнего управления, за исключением случаев,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отказывает в утверждении отчета внешнего управляющего в случае, если: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включенные в реестр требований кредиторов, не удовлетворены;</w:t>
      </w:r>
    </w:p>
    <w:p>
      <w:pPr>
        <w:spacing w:after="120"/>
        <w:ind w:firstLine="709"/>
      </w:pPr>
      <w:r>
        <w:rPr>
          <w:sz w:val="24"/>
        </w:rPr>
        <w:t xml:space="preserve">отсутствуют признаки восстановления платежеспособности должника;</w:t>
      </w:r>
    </w:p>
    <w:p>
      <w:pPr>
        <w:spacing w:after="120"/>
        <w:ind w:firstLine="709"/>
      </w:pPr>
      <w:r>
        <w:rPr>
          <w:sz w:val="24"/>
        </w:rPr>
        <w:t xml:space="preserve">имеются обстоятельства, препятствующие утверждению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отчета внешнего управляющего выносится определение: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в случае утверждения арбитражным судом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о переходе к расчетам с кредиторами в случае удовлетворения ходатайства собрания кредиторов о прекращении внешнего управления в связи с восстановлением платежеспособности должника и переходе к расчетам с кредиторами;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внешнего управления в случае удовлетворения ходатайства о продлении срока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об отказе в утверждении отчета внешнего управляющего в случае, если судом будут выявлены обстоятельства, определенные пунктом 5 настоящей статьи и препятствующие утверждению отчета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7. При наличии ходатайства собрания кредиторов о признании должника банкротом и об открытии конкурсного производства, а также в случае отказа арбитражного суда в утверждении отчета внешнего управляющего или непредставления указанного отчета в течение месяца со дня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119</dc:title>
  <dc:creator>АРБИТРАЖ! · arbi.ru</dc:creator>
  <cp:lastModifiedBy>АРБИТРАЖ!</cp:lastModifiedBy>
  <dcterms:created xsi:type="dcterms:W3CDTF">2026-10-22T20:20:35.623Z</dcterms:created>
</cp:coreProperties>
</file>