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121</w:t>
      </w:r>
    </w:p>
    <w:p>
      <w:pPr>
        <w:spacing w:after="120"/>
        <w:ind w:firstLine="709"/>
      </w:pPr>
      <w:r>
        <w:rPr>
          <w:sz w:val="24"/>
        </w:rPr>
        <w:t xml:space="preserve">- Гражданин (ИП), конкурсный кредитор, финансовый управляющий хочет исключить из реестра требование кредитора</w:t>
      </w:r>
    </w:p>
    <w:p>
      <w:pPr>
        <w:spacing w:after="120"/>
        <w:ind w:firstLine="709"/>
      </w:pPr>
      <w:r>
        <w:rPr>
          <w:sz w:val="24"/>
        </w:rPr>
        <w:t xml:space="preserve">1. Расчеты с кредиторами производятся внешним управляющим в соответствии с реестром требований кредиторов начиная со дня вынесения арбитражным судом определения о переходе к расчетам с кредиторами или определения о начале расчетов с кредиторами определенной очереди.</w:t>
      </w:r>
    </w:p>
    <w:p>
      <w:pPr>
        <w:spacing w:after="120"/>
        <w:ind w:firstLine="709"/>
      </w:pPr>
      <w:r>
        <w:rPr>
          <w:sz w:val="24"/>
        </w:rPr>
        <w:t xml:space="preserve">2. Расчеты с кредиторами производятся в порядке, предусмотренном статьями 134 - 138 настоящего Федерального закона,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После удовлетворения требования кредитора, включенного в реестр требований кредиторов, внешний управляющий или реестродержатель исключает такое требование из реестра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ведение реестра требований кредиторов осуществляется реестродержателем, документы, подтверждающие удовлетворение требования кредитора, направляются внешним управляющим реестродержателю.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121</dc:title>
  <dc:creator>АРБИТРАЖ! · arbi.ru</dc:creator>
  <cp:lastModifiedBy>АРБИТРАЖ!</cp:lastModifiedBy>
  <dcterms:created xsi:type="dcterms:W3CDTF">2026-10-22T20:18:10.868Z</dcterms:created>
</cp:coreProperties>
</file>