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135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Определение размера требований граждан , перед которыми должник несет ответственность за причинение вреда жизни или здоровью, осуществляется путем капитализации соответствующих повременных платежей , установленных на дату принятия арбитражным судом решения о признании должника банкротом и об открытии конкурсного производства и подлежащих выплате гражданам до достижения ими возраста семидесяти лет, но не менее чем за десять лет. Порядок и условия капитализации соответствующих повременных платежей определяются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случае, если возраст гражданина превышает семьдесят лет, период капитализации соответствующих повременных платежей составляет десять лет.</w:t>
      </w:r>
    </w:p>
    <w:p>
      <w:pPr>
        <w:spacing w:after="120"/>
        <w:ind w:firstLine="709"/>
      </w:pPr>
      <w:r>
        <w:rPr>
          <w:sz w:val="24"/>
        </w:rPr>
        <w:t xml:space="preserve">2. С выплатой капитализированных повременных платежей, размер которых определяется в порядке, предусмотренном пунктом 1 настоящей статьи, прекращается соответствующее обязательство должника.</w:t>
      </w:r>
    </w:p>
    <w:p>
      <w:pPr>
        <w:spacing w:after="120"/>
        <w:ind w:firstLine="709"/>
      </w:pPr>
      <w:r>
        <w:rPr>
          <w:sz w:val="24"/>
        </w:rPr>
        <w:t xml:space="preserve">3. С согласия гражданина его право требования к должнику в сумме капитализированных повременных платежей переходит к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Указанное требование в случае перехода его к Российской Федерации также удовлетворяется в первую очередь.</w:t>
      </w:r>
    </w:p>
    <w:p>
      <w:pPr>
        <w:spacing w:after="120"/>
        <w:ind w:firstLine="709"/>
      </w:pPr>
      <w:r>
        <w:rPr>
          <w:sz w:val="24"/>
        </w:rPr>
        <w:t xml:space="preserve">В этом случае обязательства должника перед гражданином по выплате капитализированных повременных платежей переходят к Российской Федерации и исполняются Российской Федерацией в соответствии с федеральным законом в порядке , определенном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29.06.2015 N 186-ФЗ.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Требования о выплате компенсации сверх возмещения вреда удовлетворяются в размере, установленном Градостроительным кодексом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28.11.2011 N 337-ФЗ)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135</dc:title>
  <dc:creator>АРБИТРАЖ! · arbi.ru</dc:creator>
  <cp:lastModifiedBy>АРБИТРАЖ!</cp:lastModifiedBy>
  <dcterms:created xsi:type="dcterms:W3CDTF">2026-10-22T17:45:18.143Z</dcterms:created>
</cp:coreProperties>
</file>