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Конкурсный управляющий представляет собранию кредиторов (комитету кредиторов) отчет о своей деятельности, информацию о финансовом состоянии должника и его имуществе на момент открытия конкурсного производства и в ходе конкурсного производства, а также иную информацию не реже чем один раз в три месяца, если собранием кредиторов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отчете конкурсного управляющего должны содержаться сведения:</w:t>
      </w:r>
    </w:p>
    <w:p>
      <w:pPr>
        <w:spacing w:after="120"/>
        <w:ind w:firstLine="709"/>
      </w:pPr>
      <w:r>
        <w:rPr>
          <w:sz w:val="24"/>
        </w:rPr>
        <w:t xml:space="preserve">о сформированной конкурсной массе, в том числе о ходе и об итогах инвентаризации имущества должника, о ходе и результатах оценки имущества должника в случае привлечения оценщика для оценки такого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28.07.2012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размере денежных средств, поступивших на основной счет должника, об источниках данных поступлений;</w:t>
      </w:r>
    </w:p>
    <w:p>
      <w:pPr>
        <w:spacing w:after="120"/>
        <w:ind w:firstLine="709"/>
      </w:pPr>
      <w:r>
        <w:rPr>
          <w:sz w:val="24"/>
        </w:rPr>
        <w:t xml:space="preserve">о ходе реализации имущества должника с указанием сумм, поступивших от реализации имущества;</w:t>
      </w:r>
    </w:p>
    <w:p>
      <w:pPr>
        <w:spacing w:after="120"/>
        <w:ind w:firstLine="709"/>
      </w:pPr>
      <w:r>
        <w:rPr>
          <w:sz w:val="24"/>
        </w:rPr>
        <w:t xml:space="preserve">о количестве и об общем размере требований о взыскании задолженности, предъявленных конкурсным управляющим к третьим лицам;</w:t>
      </w:r>
    </w:p>
    <w:p>
      <w:pPr>
        <w:spacing w:after="120"/>
        <w:ind w:firstLine="709"/>
      </w:pPr>
      <w:r>
        <w:rPr>
          <w:sz w:val="24"/>
        </w:rPr>
        <w:t xml:space="preserve">о предпринятых мерах по обеспечению сохранности имущества должника, а также по выявлению и истребованию имущества должника, находящегося во владении у третьих лиц;</w:t>
      </w:r>
    </w:p>
    <w:p>
      <w:pPr>
        <w:spacing w:after="120"/>
        <w:ind w:firstLine="709"/>
      </w:pPr>
      <w:r>
        <w:rPr>
          <w:sz w:val="24"/>
        </w:rPr>
        <w:t xml:space="preserve">о предпринятых мерах по признанию недействительными сделок должника, а также по заявлению отказа от исполнения договоров должника;</w:t>
      </w:r>
    </w:p>
    <w:p>
      <w:pPr>
        <w:spacing w:after="120"/>
        <w:ind w:firstLine="709"/>
      </w:pPr>
      <w:r>
        <w:rPr>
          <w:sz w:val="24"/>
        </w:rPr>
        <w:t xml:space="preserve">о ведении реестра требований кредиторов с указанием общего размера требований кредиторов, включенных в реестр, и отдельно - относительно каждой очереди;</w:t>
      </w:r>
    </w:p>
    <w:p>
      <w:pPr>
        <w:spacing w:after="120"/>
        <w:ind w:firstLine="709"/>
      </w:pPr>
      <w:r>
        <w:rPr>
          <w:sz w:val="24"/>
        </w:rPr>
        <w:t xml:space="preserve">о количестве работников должника, продолжающих свою деятельность в ходе конкурсного производства, а также о количестве уволенных (сокращенных) работников должника в ходе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о проведенной конкурсным управляющим работе по закрытию счетов должника и ее результатах;</w:t>
      </w:r>
    </w:p>
    <w:p>
      <w:pPr>
        <w:spacing w:after="120"/>
        <w:ind w:firstLine="709"/>
      </w:pPr>
      <w:r>
        <w:rPr>
          <w:sz w:val="24"/>
        </w:rPr>
        <w:t xml:space="preserve">о сумме текущих обязательств должника с указанием процедуры, применяемой в деле о банкротстве должника, в ходе которой они возникли, их назначения, основания их возникновения, размера обязательства и непогашенного остатка;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привлечении к субсидиарной ответственности третьих лиц, которые в соответствии с законодательством Российской Федерации несут субсидиарную ответственность по обязательствам должника в связи с доведением его до банкротства;</w:t>
      </w:r>
    </w:p>
    <w:p>
      <w:pPr>
        <w:spacing w:after="120"/>
        <w:ind w:firstLine="709"/>
      </w:pPr>
      <w:r>
        <w:rPr>
          <w:sz w:val="24"/>
        </w:rPr>
        <w:t xml:space="preserve">иные сведения о ходе конкурсного производства, состав которых определяется конкурсным управляющим, а также требованиями собрания кредиторов (комитета кредиторов) или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3. Конкурсный управляющий обязан по требованию арбитражного суда предоставлять арбитражному суду все сведения, касающиеся конкурсного производства, в том числе отчет о своей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143</dc:title>
  <dc:creator>АРБИТРАЖ! · arbi.ru</dc:creator>
  <cp:lastModifiedBy>АРБИТРАЖ!</cp:lastModifiedBy>
  <dcterms:created xsi:type="dcterms:W3CDTF">2026-10-22T20:16:47.553Z</dcterms:created>
</cp:coreProperties>
</file>