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146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случае, если в отношении должника не вводились финансовое оздоровление и (или) внешнее управление, а в ходе конкурсного производства у конкурсного управляющего появились достаточные основания, в том числе основания, подтвержденные данными финансового анализа, полагать, что платежеспособность должника может быть восстановлена, конкурсный управляющий обязан созвать собрание кредиторов в течение месяца с момента выявления указанных обстоятельств в целях рассмотрения вопроса об обращении в арбитражный суд с ходатайством о прекращении конкурсного производства и переходе к внешнему управлению.</w:t>
      </w:r>
    </w:p>
    <w:p>
      <w:pPr>
        <w:spacing w:after="120"/>
        <w:ind w:firstLine="709"/>
      </w:pPr>
      <w:r>
        <w:rPr>
          <w:sz w:val="24"/>
        </w:rPr>
        <w:t xml:space="preserve">2. Решение собрания кредиторов об обращении в арбитражный суд с ходатайством о прекращении конкурсного производства и переходе к внешнему управлению принимается большинством голосов от общего числа голосов кредиторов, требования которых включены в реестр требований кредиторов и не погашены на дату проведения собрания кредиторов, рассматривающего вопрос о принятии такого решения.</w:t>
      </w:r>
    </w:p>
    <w:p>
      <w:pPr>
        <w:spacing w:after="120"/>
        <w:ind w:firstLine="709"/>
      </w:pPr>
      <w:r>
        <w:rPr>
          <w:sz w:val="24"/>
        </w:rPr>
        <w:t xml:space="preserve">Решение собрания кредиторов об обращении в арбитражный суд с ходатайством о прекращении конкурсного производства и переходе к внешнему управлению должно содержать предлагаемый срок внешнего управления и требования к кандидатуре внешнего управляющего.</w:t>
      </w:r>
    </w:p>
    <w:p>
      <w:pPr>
        <w:spacing w:after="120"/>
        <w:ind w:firstLine="709"/>
      </w:pPr>
      <w:r>
        <w:rPr>
          <w:sz w:val="24"/>
        </w:rPr>
        <w:t xml:space="preserve">На основании ходатайства собрания кредиторов о прекращении конкурсного производства и переходе к внешнему управлению арбитражный суд может вынести определение о прекращении конкурсного производства и переходе к внешнему управлению.</w:t>
      </w:r>
    </w:p>
    <w:p>
      <w:pPr>
        <w:spacing w:after="120"/>
        <w:ind w:firstLine="709"/>
      </w:pPr>
      <w:r>
        <w:rPr>
          <w:sz w:val="24"/>
        </w:rPr>
        <w:t xml:space="preserve">Указанное определение может быть вынесено только в случае наличия у должника имущества, необходимого для осуществления самостоятельной хозяйственной деятельности.</w:t>
      </w:r>
    </w:p>
    <w:p>
      <w:pPr>
        <w:spacing w:after="120"/>
        <w:ind w:firstLine="709"/>
      </w:pPr>
      <w:r>
        <w:rPr>
          <w:sz w:val="24"/>
        </w:rPr>
        <w:t xml:space="preserve">3. В случае вынесения арбитражным судом определения о прекращении конкурсного производства и переходе к внешнему управлению:</w:t>
      </w:r>
    </w:p>
    <w:p>
      <w:pPr>
        <w:spacing w:after="120"/>
        <w:ind w:firstLine="709"/>
      </w:pPr>
      <w:r>
        <w:rPr>
          <w:sz w:val="24"/>
        </w:rPr>
        <w:t xml:space="preserve">прекращаются ограничения органов управления должника, предусмотренные настоящей главой;</w:t>
      </w:r>
    </w:p>
    <w:p>
      <w:pPr>
        <w:spacing w:after="120"/>
        <w:ind w:firstLine="709"/>
      </w:pPr>
      <w:r>
        <w:rPr>
          <w:sz w:val="24"/>
        </w:rPr>
        <w:t xml:space="preserve">открывается реестр требований кредиторов;</w:t>
      </w:r>
    </w:p>
    <w:p>
      <w:pPr>
        <w:spacing w:after="120"/>
        <w:ind w:firstLine="709"/>
      </w:pPr>
      <w:r>
        <w:rPr>
          <w:sz w:val="24"/>
        </w:rPr>
        <w:t xml:space="preserve">требования кредиторов по денежным обязательствам и об уплате обязательных платежей, возникшие в ходе конкурсного производства, считаются текущими с даты вынесения определения о переходе к внешнему управлению;</w:t>
      </w:r>
    </w:p>
    <w:p>
      <w:pPr>
        <w:spacing w:after="120"/>
        <w:ind w:firstLine="709"/>
      </w:pPr>
      <w:r>
        <w:rPr>
          <w:sz w:val="24"/>
        </w:rPr>
        <w:t xml:space="preserve">требования кредиторов по обязательствам, срок исполнения которых в соответствии с условиями обязательств не наступил на момент открытия конкурсного производства, также считаются текущими с даты вынесения определения о переходе к внешнему управлению;</w:t>
      </w:r>
    </w:p>
    <w:p>
      <w:pPr>
        <w:spacing w:after="120"/>
        <w:ind w:firstLine="709"/>
      </w:pPr>
      <w:r>
        <w:rPr>
          <w:sz w:val="24"/>
        </w:rPr>
        <w:t xml:space="preserve">требования, удовлетворенные в ходе конкурсного производства, считаются погашенными и не подлежат восстановлению.</w:t>
      </w:r>
    </w:p>
    <w:p>
      <w:pPr>
        <w:spacing w:after="120"/>
        <w:ind w:firstLine="709"/>
      </w:pPr>
      <w:r>
        <w:rPr>
          <w:sz w:val="24"/>
        </w:rPr>
        <w:t xml:space="preserve">На требования кредиторов, уполномоченных органов по денежным обязательствам должника и об уплате обязательных платежей, возникшие до принятия решения о признании должника банкротом и об открытии конкурсного производства, в ходе конкурсного производства начисляются проценты в размере и в порядке, которые установлены пунктом 2 статьи 95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4. В случае, если на дату вынесения арбитражным судом определения о переходе к внешнему управлению с даты введения конкурсного производства прошло менее чем три месяца, течение срока, установленного пунктом 1 статьи 102 настоящего Федерального закона, приостанавливается до утверждения внешнего управляющего.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146</dc:title>
  <dc:creator>АРБИТРАЖ! · arbi.ru</dc:creator>
  <cp:lastModifiedBy>АРБИТРАЖ!</cp:lastModifiedBy>
  <dcterms:created xsi:type="dcterms:W3CDTF">2026-10-23T01:55:42.021Z</dcterms:created>
</cp:coreProperties>
</file>