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157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Участие в мировом соглашении третьих лиц допускается, если их участие не нарушает права и законные интересы кредиторов, требования которых включены в реестр требований кредиторов, а также кредиторов, требования которых возникли после даты принятия заявления о признании должника банкротом и срок исполнения требований которых наступил до даты заключения мирового соглашения.</w:t>
      </w:r>
    </w:p>
    <w:p>
      <w:pPr>
        <w:spacing w:after="120"/>
        <w:ind w:firstLine="709"/>
      </w:pPr>
      <w:r>
        <w:rPr>
          <w:sz w:val="24"/>
        </w:rPr>
        <w:t xml:space="preserve">2. Участвующие в мировом соглашении третьи лица вправе предоставить поручительства или гарантии исполнения должником обязательств по мировому соглашению либо иным образом обеспечить их надлежащее исполнение.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157</dc:title>
  <dc:creator>АРБИТРАЖ! · arbi.ru</dc:creator>
  <cp:lastModifiedBy>АРБИТРАЖ!</cp:lastModifiedBy>
  <dcterms:created xsi:type="dcterms:W3CDTF">2026-10-22T23:03:06.440Z</dcterms:created>
</cp:coreProperties>
</file>