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12.07.2011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отношениям, связанным с банкротством градообразующих, сельскохозяйственных, финансовых организаций, стратегических предприятий и организаций, субъектов естественных монополий, а также к отношениям, связанным с банкротством застройщиков, применяются положения настоящего Федерального закона, регулирующие банкротство должников - юридических лиц, если иное не предусмотрено настоящей главой.</w:t>
      </w:r>
    </w:p>
    <w:p/>
    <w:p>
      <w:pPr>
        <w:spacing w:after="120"/>
        <w:ind w:firstLine="709"/>
      </w:pPr>
      <w:r>
        <w:rPr>
          <w:sz w:val="24"/>
        </w:rPr>
        <w:t xml:space="preserve">§ 2. Банкротство градообразующих организаций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168</dc:title>
  <dc:creator>АРБИТРАЖ! · arbi.ru</dc:creator>
  <cp:lastModifiedBy>АРБИТРАЖ!</cp:lastModifiedBy>
  <dcterms:created xsi:type="dcterms:W3CDTF">2026-10-22T22:31:39.347Z</dcterms:created>
</cp:coreProperties>
</file>