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целей настоящего Федерального закона градообразующими организациями признаются юридические лица, численность работников которых составляет не менее двадцати пяти процентов численности работающего населения соответствующего населенного пункта.</w:t>
      </w:r>
    </w:p>
    <w:p>
      <w:pPr>
        <w:spacing w:after="120"/>
        <w:ind w:firstLine="709"/>
      </w:pPr>
      <w:r>
        <w:rPr>
          <w:sz w:val="24"/>
        </w:rPr>
        <w:t xml:space="preserve">2. Положения, предусмотренные настоящим параграфом, применяются также к иным организациям, численность работников которых превышает пять тысяч человек.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169</dc:title>
  <dc:creator>АРБИТРАЖ! · arbi.ru</dc:creator>
  <cp:lastModifiedBy>АРБИТРАЖ!</cp:lastModifiedBy>
  <dcterms:created xsi:type="dcterms:W3CDTF">2026-10-22T10:17:38.672Z</dcterms:created>
</cp:coreProperties>
</file>