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собранием кредиторов не принято решение о введении внешнего управления градообразующей организацией, арбитражный суд вправе ввести внешнее управление по основаниям, предусмотренным настоящим Федеральным законом, а также по ходатайству органа местного самоуправления, или привлеченного к участию в деле о банкротстве соответствующего федерального органа исполнительной власти, или органа исполнительной власти субъекта Российской Федерации при условии предоставления поручительства по обязательствам должника.</w:t>
      </w:r>
    </w:p>
    <w:p>
      <w:pPr>
        <w:spacing w:after="120"/>
        <w:ind w:firstLine="709"/>
      </w:pPr>
      <w:r>
        <w:rPr>
          <w:sz w:val="24"/>
        </w:rPr>
        <w:t xml:space="preserve">Поручительство по обязательствам должника может быть дано Российской Федерацией, субъектом Российской Федерации или муниципальным образованием в лице их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2. Орган местного самоуправления, или привлеченный к участию в деле о банкротстве градообразующей организации соответствующий федеральный орган исполнительной власти, или орган исполнительной власти субъекта Российской Федерации, представившие поручительство по обязательствам должника, определяет требования к кандидатуре внешнего управляющего и направляет их в саморегулируемые организации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3. В случаях, если внешнее управление градообразующей организацией введено в порядке, предусмотренном настоящей статьей, поручитель несет субсидиарную ответственность по обязательствам должника перед его кредиторами.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171</dc:title>
  <dc:creator>АРБИТРАЖ! · arbi.ru</dc:creator>
  <cp:lastModifiedBy>АРБИТРАЖ!</cp:lastModifiedBy>
  <dcterms:created xsi:type="dcterms:W3CDTF">2026-10-22T22:56:24.272Z</dcterms:created>
</cp:coreProperties>
</file>