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настоящего Федерального закона под поручительством понимается односторонняя обязанность лица, давшего поручительство за должника, отвечать за исполнение последним всех его денежных обязательств перед конкурсными кредиторами, обязательств о выплате выходных пособий, об оплате труда лиц, работающих или работавших по трудовому договору, а также обязанности по уплате обязательных платежей в бюджеты и внебюджетные фонды.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Поручительство по обязательствам должника может быть дано Российской Федерацией, субъектом Российской Федерации или муниципальным образованием в лице их уполномоченных органов в порядке и на условиях, которые предусмотрены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Поручительство по обязательствам должника предоставляется арбитражному суду в письменной форме. В заявлении о поручительстве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сумма обязательств должника перед кредиторами и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график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К поручительству прикладываются документы, подтверждающие включение обязательств по поручительству в соответствующий бюджет на дату предоставления поручительства.</w:t>
      </w:r>
    </w:p>
    <w:p>
      <w:pPr>
        <w:spacing w:after="120"/>
        <w:ind w:firstLine="709"/>
      </w:pPr>
      <w:r>
        <w:rPr>
          <w:sz w:val="24"/>
        </w:rPr>
        <w:t xml:space="preserve">3. Должник и его поручитель обязаны приступить к расчетам с кредиторами в соответствии с графиком погашения задолженности, предусмотренным поручительством.</w:t>
      </w:r>
    </w:p>
    <w:p>
      <w:pPr>
        <w:spacing w:after="120"/>
        <w:ind w:firstLine="709"/>
      </w:pPr>
      <w:r>
        <w:rPr>
          <w:sz w:val="24"/>
        </w:rPr>
        <w:t xml:space="preserve">4. В случае неисполнения требований кредиторов и уполномоченных органов в порядке и в сроки, которые предусмотрены графиком погашения задолженности, кредиторы и уполномоченные органы вправе предъявить к поручителю требования о взыскании невыплаченных сумм в общем порядке, предусмотренном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5. Нарушение поручителем своих обязательств в отношении кредиторов и уполномоченных органов, обладающих одной третьей частью всех требований к должнику, может служить основанием для досрочного прекращения финансового оздоровления или внешнего управления, признания должника банкротом и открытия конкурсного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173</dc:title>
  <dc:creator>АРБИТРАЖ! · arbi.ru</dc:creator>
  <cp:lastModifiedBy>АРБИТРАЖ!</cp:lastModifiedBy>
  <dcterms:created xsi:type="dcterms:W3CDTF">2026-10-22T16:44:53.177Z</dcterms:created>
</cp:coreProperties>
</file>