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175</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Первоисточник: Официальный интернет-портал правовой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ходе внешнего управления или конкурсного производства может быть осуществлена продажа предприятия градообразующей организации.</w:t>
      </w:r>
    </w:p>
    <w:p>
      <w:pPr>
        <w:spacing w:after="120"/>
        <w:ind w:firstLine="709"/>
      </w:pPr>
      <w:r>
        <w:rPr>
          <w:sz w:val="24"/>
        </w:rPr>
        <w:t xml:space="preserve">2. При наличии ходатайства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власти субъекта Российской Федерации существенным условием договора купли-продажи предприятия градообразующей организации может являться сохранение рабочих мест не менее чем для пятидесяти процентов работников такого предприятия на дату его продажи в течение определенного срока, но не более чем в течение трех лет с момента вступления договора в силу.</w:t>
      </w:r>
    </w:p>
    <w:p>
      <w:pPr>
        <w:spacing w:after="120"/>
        <w:ind w:firstLine="709"/>
      </w:pPr>
      <w:r>
        <w:rPr>
          <w:sz w:val="24"/>
        </w:rPr>
        <w:t xml:space="preserve">Иные условия могут быть установлены по предложению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власти субъекта Российской Федерации исключительно с согласия собрания кредиторов в порядке, предусмотренном статьей 15 настоящего Федерального закона.</w:t>
      </w:r>
    </w:p>
    <w:p>
      <w:pPr>
        <w:spacing w:after="120"/>
        <w:ind w:firstLine="709"/>
      </w:pPr>
      <w:r>
        <w:rPr>
          <w:sz w:val="24"/>
        </w:rPr>
        <w:t xml:space="preserve">3. В случае неисполнения покупателем предприятия градообразующей организации условий, предусмотренных пунктом 2 настоящей статьи, договор купли-продажи подлежит расторжению арбитражным судом на основании заявления органа местного самоуправления, или федерального органа исполнительной власти, или органа исполнительной власти субъекта Российской Федерации, по ходатайству которых проводился конкурс. При расторжении договора купли-продажи покупателю такого предприятия за счет средств соответствующего бюджета возмещаются средства, затраченные на покупку предприятия, и осуществленные в период действия договора инвестиции, а предприятие подлежит передаче муниципальному образованию.</w:t>
      </w:r>
    </w:p>
    <w:p>
      <w:pPr>
        <w:spacing w:after="120"/>
        <w:ind w:firstLine="709"/>
      </w:pPr>
      <w:r>
        <w:rPr>
          <w:sz w:val="24"/>
        </w:rPr>
        <w:t xml:space="preserve">4. В случае, если указанное в пункте 2 настоящей статьи ходатайство не было подано или предприятие градообразующей организации не было продано на указанных условиях, предприятие подлежит продаже в порядке и на условиях, которые установлены статьями 110 , 111 и 139 настоящего Федерального закона.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175</dc:title>
  <dc:creator>АРБИТРАЖ! · arbi.ru</dc:creator>
  <cp:lastModifiedBy>АРБИТРАЖ!</cp:lastModifiedBy>
  <dcterms:created xsi:type="dcterms:W3CDTF">2026-10-22T12:22:18.361Z</dcterms:created>
</cp:coreProperties>
</file>