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Изменение организационной структуры финансовой организации может осуществляться:</w:t>
      </w:r>
    </w:p>
    <w:p>
      <w:pPr>
        <w:spacing w:after="120"/>
        <w:ind w:firstLine="709"/>
      </w:pPr>
      <w:r>
        <w:rPr>
          <w:sz w:val="24"/>
        </w:rPr>
        <w:t xml:space="preserve">1) путем изменения состава и численности работников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2) путем изменения структуры (в том числе путем прекращения деятельности структурных подразделений, а также филиала, представительства или иного обособленного структурного подразделения финансовой организации) либо другими способами, обеспечивающими устранение причин, вызвавших необходимость осуществления мер по восстановлению платежеспособности финансовой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183.4</dc:title>
  <dc:creator>АРБИТРАЖ! · arbi.ru</dc:creator>
  <cp:lastModifiedBy>АРБИТРАЖ!</cp:lastModifiedBy>
  <dcterms:created xsi:type="dcterms:W3CDTF">2026-10-22T20:17:34.368Z</dcterms:created>
</cp:coreProperties>
</file>