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Временная администрация вправе:</w:t>
      </w:r>
    </w:p>
    <w:p>
      <w:pPr>
        <w:spacing w:after="120"/>
        <w:ind w:firstLine="709"/>
      </w:pPr>
      <w:r>
        <w:rPr>
          <w:sz w:val="24"/>
        </w:rPr>
        <w:t xml:space="preserve">1) давать обязательные для исполнения распоряжения работникам финансовой организации в целях осуществления задач, возложенных на временную администрацию в соответствии с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2) обращаться в суд от имени финансовой организации с заявлением о признании сделок, совершенных финансовой организацией или за счет финансовой организации, недействительными, а также о применении последствий недействительности ничтожных сделок по основаниям, предусмотренным Гражданским кодексом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принимать участие в общих собраниях учредителей (участников) финансовой организации и заседаниях иных органов управления финансовой организации без права голоса, знакомиться с протоколами и другими материалами общего собрания учредителей (участников) финансовой организации и заседаний иных органов управления финансовой организации, получать информацию о деятельности финансовой организации, знакомиться с любыми ее документами, в том числе получать от органов управления, работников финансовой организации, третьих лиц информацию и документы, касающиеся деятельности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Временная администрация обязана:</w:t>
      </w:r>
    </w:p>
    <w:p>
      <w:pPr>
        <w:spacing w:after="120"/>
        <w:ind w:firstLine="709"/>
      </w:pPr>
      <w:r>
        <w:rPr>
          <w:sz w:val="24"/>
        </w:rPr>
        <w:t xml:space="preserve">1) применять меры по предупреждению банкротства финансовой организации в случае приостановления полномочий органов управления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контролировать выполнение финансовой организацией плана восстановления ее платежеспособности в случае ограничения полномочий органов управления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3) обеспечивать сохранность имущества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обращаться в случаях и в порядке, которые установлены настоящим Федеральным законом, в арбитражный суд от имени финансовой организации с заявлением о признании финансовой организации банкротом;</w:t>
      </w:r>
    </w:p>
    <w:p>
      <w:pPr>
        <w:spacing w:after="120"/>
        <w:ind w:firstLine="709"/>
      </w:pPr>
      <w:r>
        <w:rPr>
          <w:sz w:val="24"/>
        </w:rPr>
        <w:t xml:space="preserve">5) обращаться в контрольный орган с ходатайством об отзыве, аннулировании или о приостановлении действия лицензии финансовой организации при наличии оснований для отзыва, аннулирования или приостановления действия такой лицензии;</w:t>
      </w:r>
    </w:p>
    <w:p>
      <w:pPr>
        <w:spacing w:after="120"/>
        <w:ind w:firstLine="709"/>
      </w:pPr>
      <w:r>
        <w:rPr>
          <w:sz w:val="24"/>
        </w:rPr>
        <w:t xml:space="preserve">6) исполнять иные предусмотренные настоящим Федеральным законом обязанности.</w:t>
      </w:r>
    </w:p>
    <w:p>
      <w:pPr>
        <w:spacing w:after="120"/>
        <w:ind w:firstLine="709"/>
      </w:pPr>
      <w:r>
        <w:rPr>
          <w:sz w:val="24"/>
        </w:rPr>
        <w:t xml:space="preserve">3. Действия временной администрации могут быть обжалованы финансовой организацией в контрольный орган или арбитражный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183.7</dc:title>
  <dc:creator>АРБИТРАЖ! · arbi.ru</dc:creator>
  <cp:lastModifiedBy>АРБИТРАЖ!</cp:lastModifiedBy>
  <dcterms:created xsi:type="dcterms:W3CDTF">2026-10-22T20:16:04.844Z</dcterms:created>
</cp:coreProperties>
</file>