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Заявление контрольного органа о признании финансовой организации банкротом подается в арбитражный суд в письменной форме. Указанное заявление подписывается руководителем контрольного органа или лицом, уполномоченным руководителем контрольного органа на подачу заявления о признании финансовой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2. В заявлении контрольного органа о признании финансовой организации банкротом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указанное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финансовой организации, ее адрес и идентифицирующие финансовую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наименование контрольного органа и его адрес;</w:t>
      </w:r>
    </w:p>
    <w:p>
      <w:pPr>
        <w:spacing w:after="120"/>
        <w:ind w:firstLine="709"/>
      </w:pPr>
      <w:r>
        <w:rPr>
          <w:sz w:val="24"/>
        </w:rPr>
        <w:t xml:space="preserve">4) размер требований кредиторов по денежным обязательствам, размер задолженности по обязательным платежам, стоимость имущества (активов) финансовой организации или иные имеющие отношение к рассмотрению дела о банкротстве сведения;</w:t>
      </w:r>
    </w:p>
    <w:p>
      <w:pPr>
        <w:spacing w:after="120"/>
        <w:ind w:firstLine="709"/>
      </w:pPr>
      <w:r>
        <w:rPr>
          <w:sz w:val="24"/>
        </w:rPr>
        <w:t xml:space="preserve">5) кандидатура временного управляющего (фамилия, имя, отчество арбитражного управляющего, наименование и адрес саморегулируемой организации, членом которой он является) или наименование саморегулируемой организации, из числа членов которой должен быть утвержден временный управляющий, и ее адрес;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3. К заявлению контрольного органа о признании финансовой организации банкротом могут быть приложены имеющиеся у контрольного органа ходатайства.</w:t>
      </w:r>
    </w:p>
    <w:p>
      <w:pPr>
        <w:spacing w:after="120"/>
        <w:ind w:firstLine="709"/>
      </w:pPr>
      <w:r>
        <w:rPr>
          <w:sz w:val="24"/>
        </w:rPr>
        <w:t xml:space="preserve">4. Копия заявления о признании финансовой организации банкротом направляется контрольным органом в финансовую организацию и в саморегулируемую организацию финансовых организаций, членом которой является финансовая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5. Порядок выбора контрольным органом кандидатуры арбитражного управляющего или саморегулируемой организации, из числа членов которой должен быть утвержден арбитражный управляющий, устанавливается регулирующим органом.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183.20</dc:title>
  <dc:creator>АРБИТРАЖ! · arbi.ru</dc:creator>
  <cp:lastModifiedBy>АРБИТРАЖ!</cp:lastModifiedBy>
  <dcterms:created xsi:type="dcterms:W3CDTF">2026-10-22T21:58:15.402Z</dcterms:created>
</cp:coreProperties>
</file>