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184.6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Профессиональное объединение в целях участия в процедурах, применяемых в деле о банкротстве, признается имеющим право требования к должнику - страховой организации в пределах:</w:t>
      </w:r>
    </w:p>
    <w:p>
      <w:pPr>
        <w:spacing w:after="120"/>
        <w:ind w:firstLine="709"/>
      </w:pPr>
      <w:r>
        <w:rPr>
          <w:sz w:val="24"/>
        </w:rPr>
        <w:t xml:space="preserve">1) сумм вступительных взносов, членских взносов, целевых взносов и иных платежей, уплачиваемых профессиональному объединению его членами в соответствии с правилами профессионального объединения;</w:t>
      </w:r>
    </w:p>
    <w:p>
      <w:pPr>
        <w:spacing w:after="120"/>
        <w:ind w:firstLine="709"/>
      </w:pPr>
      <w:r>
        <w:rPr>
          <w:sz w:val="24"/>
        </w:rPr>
        <w:t xml:space="preserve">2) сумм компенсационных выплат, осуществленных до закрытия реестра заявленных требований кредиторов, и иных расходов, связанных с указанными компенсационными выплатами, в соответствии с законодательством Российской Федерации, регулирующим страховую деятельность;</w:t>
      </w:r>
    </w:p>
    <w:p>
      <w:pPr>
        <w:spacing w:after="120"/>
        <w:ind w:firstLine="709"/>
      </w:pPr>
      <w:r>
        <w:rPr>
          <w:sz w:val="24"/>
        </w:rPr>
        <w:t xml:space="preserve">3) сумм, предназначенных для осуществления компенсационных выплат после закрытия реестра заявленных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2. Размер сумм, предназначенных для осуществления компенсационных выплат после закрытия реестра заявленных требований кредиторов, определяется профессиональным объединением для каждого действующего договора страхования в размере доли страховой премии, непосредственно предназначенной для осуществления страховых выплат, пропорционально периоду действия указанного договора, оставшемуся после даты закрытия реестра заявленных требований кредиторов, на основании данных, содержащихся в информационных системах профессионального объединения, либо на основании статистической информации об осуществлении страхования после исполнения конкурсным управляющим обязанности, предусмотренной абзацем третьим пункта 5 статьи 184.4-1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184.6</dc:title>
  <dc:creator>АРБИТРАЖ! · arbi.ru</dc:creator>
  <cp:lastModifiedBy>АРБИТРАЖ!</cp:lastModifiedBy>
  <dcterms:created xsi:type="dcterms:W3CDTF">2026-10-22T08:03:02.861Z</dcterms:created>
</cp:coreProperties>
</file>