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Продажа имущественного комплекса страховой организации может быть осуществлена в ходе конкурсного производства по правилам, предусмотренным статьей 139 настоящего Федерального закона, с учетом требований законодательства Российской Федерации, регулирующего страховую деятельность.</w:t>
      </w:r>
    </w:p>
    <w:p>
      <w:pPr>
        <w:spacing w:after="120"/>
        <w:ind w:firstLine="709"/>
      </w:pPr>
      <w:r>
        <w:rPr>
          <w:sz w:val="24"/>
        </w:rPr>
        <w:t xml:space="preserve">Имущественный комплекс страховой организации включает в себя все виды имущества страховой организации, в том числе страховой портфель должника - страховой организации. В целях настоящей статьи к страховому портфелю страховой организации относятся договоры страхования, срок действия которых не истек и по которым страховой случай не наступил на дату признания страховой организации банкротом, а также активы, принимаемые для покрытия страховых резервов, сформированных страховщиком в порядке, установленном законодательством Российской Федерации, регулирующим страховую деятельность.</w:t>
      </w:r>
    </w:p>
    <w:p>
      <w:pPr>
        <w:spacing w:after="120"/>
        <w:ind w:firstLine="709"/>
      </w:pPr>
      <w:r>
        <w:rPr>
          <w:sz w:val="24"/>
        </w:rPr>
        <w:t xml:space="preserve">При выявлении после определения состава страхового портфеля договоров страхования, обязательства по которым не переданы в составе страхового портфеля, обязательства по таким договорам не подлежат включению в состав страхового портфеля.</w:t>
      </w:r>
    </w:p>
    <w:p>
      <w:pPr>
        <w:spacing w:after="120"/>
        <w:ind w:firstLine="709"/>
      </w:pPr>
      <w:r>
        <w:rPr>
          <w:sz w:val="24"/>
        </w:rPr>
        <w:t xml:space="preserve">Указанные обязательства исполняются за счет конкурсной массы в порядке очередности, установленном статьей 184.10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Покупателем имущественного комплекса страховой организации может выступать только страховая организация, имеющая лицензию контрольного органа на осуществление соответствующего вида страхования и обладающая активами, достаточными для исполнения обязательств по принимаемым на себя договорам страхования.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184.7</dc:title>
  <dc:creator>АРБИТРАЖ! · arbi.ru</dc:creator>
  <cp:lastModifiedBy>АРБИТРАЖ!</cp:lastModifiedBy>
  <dcterms:created xsi:type="dcterms:W3CDTF">2026-10-22T23:05:15.387Z</dcterms:created>
</cp:coreProperties>
</file>