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п. 1 ст. 184.10 вносятся изменения ( ФЗ от 26.12.2024 N 478-ФЗ).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В составе требований кредиторов первой очереди удовлетворяются требования застрахованных лиц, в отношении которых наступила обязанность страховой организации по выплате страхового возмещения по договорам страхования жизни, предусматривающим дожитие застрахованных лиц до определенных возраста или срока.</w:t>
      </w:r>
    </w:p>
    <w:p>
      <w:pPr>
        <w:spacing w:after="120"/>
        <w:ind w:firstLine="709"/>
      </w:pPr>
      <w:r>
        <w:rPr>
          <w:sz w:val="24"/>
        </w:rPr>
        <w:t xml:space="preserve">2. В составе требований кредиторов третьей очереди по текущим платежам помимо требований, предусмотренных абзацем четвертым пункта 2 статьи 134 настоящего Федерального закона, за счет конкурсной массы подлежат удовлетворению требования, приобретенные контрольным органом в результате расходов, произведенных при привлечении лиц, указанных в абзаце втором пункта 10 статьи 184.1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Требования кредиторов третьей очереди подлежат удовлетворению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- требования страхователей, застрахованных лиц или выгодоприобретателей по договорам обязательного страхования, а также требования профессионального объединения, предусмотренные подпунктами 2 и 3 пункта 1 статьи 184.6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пп. 2 п. 3 ст. 184.10 вносятся изменения ( ФЗ от 26.12.2024 N 478-ФЗ).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- требования застрахованных лиц или выгодоприобретателей, страхователей по договорам страхования жизни и иным видам личного страхования;</w:t>
      </w:r>
    </w:p>
    <w:p>
      <w:pPr>
        <w:spacing w:after="120"/>
        <w:ind w:firstLine="709"/>
      </w:pPr>
      <w:r>
        <w:rPr>
          <w:sz w:val="24"/>
        </w:rPr>
        <w:t xml:space="preserve">3) в третью очередь - требования выгодоприобретателей и страхователей по договорам страхования гражданской ответственности за причинение вреда жизни или здоровью, требования о выплате компенсации сверх возмещения вреда;</w:t>
      </w:r>
    </w:p>
    <w:p>
      <w:pPr>
        <w:spacing w:after="120"/>
        <w:ind w:firstLine="709"/>
      </w:pPr>
      <w:r>
        <w:rPr>
          <w:sz w:val="24"/>
        </w:rPr>
        <w:t xml:space="preserve">4) в четвертую очередь - требования страхователей и выгодоприобретателей по договорам страхования гражданской ответственности за причинение вреда имуществу третьих лиц и по договорам страхования имущества;</w:t>
      </w:r>
    </w:p>
    <w:p>
      <w:pPr>
        <w:spacing w:after="120"/>
        <w:ind w:firstLine="709"/>
      </w:pPr>
      <w:r>
        <w:rPr>
          <w:sz w:val="24"/>
        </w:rPr>
        <w:t xml:space="preserve">5) в пятую очередь - требования иных кредиторов, в том числе требования, связанные с возмещением расходов в связи с осуществлением компенсационных выплат по договорам обязательного страхования, с уплатой вступительных взносов, членских взносов и иных обязательных платежей, подлежащих уплате объединению страховщиков его членами в соответствии с правилами профессионального объединения на основании федеральных законов, предусматривающих обязательное членство страховой организации в объединении страховщиков.</w:t>
      </w:r>
    </w:p>
    <w:p>
      <w:pPr>
        <w:spacing w:after="120"/>
        <w:ind w:firstLine="709"/>
      </w:pPr>
      <w:r>
        <w:rPr>
          <w:sz w:val="24"/>
        </w:rPr>
        <w:t xml:space="preserve">4. Требования кредиторов по субординированным займам, а также по финансовым санкциям за неисполнение обязательств по субординированным займам удовлетворяются после удовлетворения требований всех иных кредиторов.</w:t>
      </w:r>
    </w:p>
    <w:p>
      <w:pPr>
        <w:spacing w:after="120"/>
        <w:ind w:firstLine="709"/>
      </w:pPr>
      <w:r>
        <w:rPr>
          <w:sz w:val="24"/>
        </w:rPr>
        <w:t xml:space="preserve">5. Период, в течение которого возникли обязательства страховой организации, указанные в пункте 4 статьи 136 настоящего Федерального закона, исчисляется со дня вынесения арбитражным судом определения о принятии заявления о признании должника банкротом либо назначении временной администрации страховой организации с приостановлением полномочий исполнительных органов страховой организации в зависимости от того, какое из событий произошло ранее.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184.10</dc:title>
  <dc:creator>АРБИТРАЖ! · arbi.ru</dc:creator>
  <cp:lastModifiedBy>АРБИТРАЖ!</cp:lastModifiedBy>
  <dcterms:created xsi:type="dcterms:W3CDTF">2026-10-22T20:17:46.018Z</dcterms:created>
</cp:coreProperties>
</file>