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184.11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Мировое соглашение может быть утверждено арбитражным судом только после погашения задолженности по требованиям кредиторов первой и второй очереди, задолженности по требованиям застрахованных лиц, выгодоприобретателей, страхователей по договорам обязательного страхования, а также требованиям, связанным с возмещением сумм компенсационных выплат и расходов в связи с осуществлением компенсационных выплат по договорам обязательного страхования.</w:t>
      </w:r>
    </w:p>
    <w:p>
      <w:pPr>
        <w:spacing w:after="120"/>
        <w:ind w:firstLine="709"/>
      </w:pPr>
      <w:r>
        <w:rPr>
          <w:sz w:val="24"/>
        </w:rPr>
        <w:t xml:space="preserve">2. К заявлению об утверждении мирового соглашения наряду с документами, предусмотренными пунктом 3 статьи 158 настоящего Федерального закона, должны быть приложены документы, подтверждающие погашение задолженности, указанной в пункте 1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184.11</dc:title>
  <dc:creator>АРБИТРАЖ! · arbi.ru</dc:creator>
  <cp:lastModifiedBy>АРБИТРАЖ!</cp:lastModifiedBy>
  <dcterms:created xsi:type="dcterms:W3CDTF">2026-10-22T22:30:16.441Z</dcterms:created>
</cp:coreProperties>
</file>