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При проведении анализа финансового состояния профессионального участника рынка ценных бумаг, управляющей компании, клиринговой организации временный управляющий устанавливает достаточность денежных средств, ценных бумаг и иного имущества на специальном брокерском счете, счете депо, торговом счете, клиринговом счете, отдельном банковском счете, открытом для расчетов по операциям, связанным с доверительным управлением профессионального участника рынка ценных бумаг, управляющей компании, для удовлетворения требований клиентов и исполнения обязательств профессионального участника рынка ценных бумаг, управляющей компании, клиринговой организации в порядке, установленном статьей 185.5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введении наблюдения профессиональный участник рынка ценных бумаг, управляющая компания, клиринговая организация не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совершать сделки за свой счет или за счет клиента, если на момент их совершения имущества или денежных средств недостаточно для исполнения обязательств по этим и ранее заключенным сделкам. Настоящее требование не распространяется на случаи, если профессиональный участник рынка ценных бумаг, управляющая компания имеют право требовать указанное имущество по сделке с центральным контрагентом в количестве и в сроки, которые позволяют ему (ей) надлежащим образом исполнить свои обязательства;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использовать в своих интересах денежные средства, находящиеся на специальном брокерском счете;</w:t>
      </w:r>
    </w:p>
    <w:p>
      <w:pPr>
        <w:spacing w:after="120"/>
        <w:ind w:firstLine="709"/>
      </w:pPr>
      <w:r>
        <w:rPr>
          <w:sz w:val="24"/>
        </w:rPr>
        <w:t xml:space="preserve">3) использовать собственное имущество в качестве обеспечения исполнения обязательств третьих лиц;</w:t>
      </w:r>
    </w:p>
    <w:p>
      <w:pPr>
        <w:spacing w:after="120"/>
        <w:ind w:firstLine="709"/>
      </w:pPr>
      <w:r>
        <w:rPr>
          <w:sz w:val="24"/>
        </w:rPr>
        <w:t xml:space="preserve">4) предоставлять собственное имущество в заем;</w:t>
      </w:r>
    </w:p>
    <w:p>
      <w:pPr>
        <w:spacing w:after="120"/>
        <w:ind w:firstLine="709"/>
      </w:pPr>
      <w:r>
        <w:rPr>
          <w:sz w:val="24"/>
        </w:rPr>
        <w:t xml:space="preserve">5) заключать договоры репо без согласия временного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6) передавать денежные средства и иное имущество клиента, а также совершать операции с ценными бумагами и иным имуществом клиента по поручению или требованию клиента, если у клиента имеется задолженность перед профессиональным участником рынка ценных бумаг, клиринговой организацией, в том числе по выплате вознаграждения профессиональному участнику рынка ценных бумаг, клиринговой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Передача денежных средств и иного имущества клиента, а также совершение операций с ценными бумагами и иным имуществом клиента по поручению или требованию клиента осуществляются в порядке, установленном статьей 185.5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185.4</dc:title>
  <dc:creator>АРБИТРАЖ! · arbi.ru</dc:creator>
  <cp:lastModifiedBy>АРБИТРАЖ!</cp:lastModifiedBy>
  <dcterms:created xsi:type="dcterms:W3CDTF">2026-10-23T00:33:01.035Z</dcterms:created>
</cp:coreProperties>
</file>