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Требования клиентов профессионального участника рынка ценных бумаг, управляющей компании, клиринговой организации подлежат удовлетворению в ходе наблюдения или конкурсного производства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имущества клиентов, находящегося на счетах профессионального участника рынка ценных бумаг, клиринговой организации, достаточно для удовлетворения требований клиентов, такие требования удовлетворяются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имущество нескольких клиентов объединено на одном специальном брокерском счете, специальном депозитарном счете, счете депо номинального держателя, счете депо иностранного номинального держателя или лицевом счете, открытом номинальному держателю в реестре владельцев ценных бумаг, и этого имущества недостаточно для удовлетворения в полном объеме их требований о передаче всего принадлежащего им имущества, это имущество передается в количестве, пропорциональном размеру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22.12.2014 N 432-ФЗ.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4.1. Требования некоммерческой организации, указанной в пункте 4 статьи 10.2-1-1 Федерального закона "О рынке ценных бумаг", к осуществляющим открытие и ведение индивидуальных инвестиционных счетов брокеру, управляющему или управляющей компании открытого паевого инвестиционного фонда, перешедшие к некоммерческой организации, указанной в пункте 4 статьи 10.2-1-1 Федерального закона "О рынке ценных бумаг", в результате осуществления компенсационных выплат в соответствии с Федеральным законом "О рынке ценных бумаг", удовлетворяются в составе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31.07.2025 N 331-ФЗ)</w:t>
      </w:r>
    </w:p>
    <w:p>
      <w:pPr>
        <w:spacing w:after="120"/>
        <w:ind w:firstLine="709"/>
      </w:pPr>
      <w:r>
        <w:rPr>
          <w:sz w:val="24"/>
        </w:rPr>
        <w:t xml:space="preserve">5. Действие положений настоящей статьи, за исключением пункта 4.1 настоящей статьи, не распространяется на имущество клиентов, находящееся в доверительном управлении профессионального участника рынка ценных бумаг или управляющей компании.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31.07.2025 N 331-ФЗ)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185.5</dc:title>
  <dc:creator>АРБИТРАЖ! · arbi.ru</dc:creator>
  <cp:lastModifiedBy>АРБИТРАЖ!</cp:lastModifiedBy>
  <dcterms:created xsi:type="dcterms:W3CDTF">2026-10-22T12:56:12.641Z</dcterms:created>
</cp:coreProperties>
</file>