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Закон о банкротстве, ст. 186.5</w:t>
      </w:r>
    </w:p>
    <w:p>
      <w:pPr>
        <w:spacing w:after="120"/>
        <w:ind w:firstLine="709"/>
      </w:pPr>
      <w:r>
        <w:rPr>
          <w:sz w:val="24"/>
        </w:rPr>
        <w:t xml:space="preserve">Акт: Федеральный закон «О несостоятельности (банкротстве)» № 127-ФЗ</w:t>
      </w:r>
    </w:p>
    <w:p>
      <w:pPr>
        <w:spacing w:after="120"/>
        <w:ind w:firstLine="709"/>
      </w:pPr>
      <w:r>
        <w:rPr>
          <w:sz w:val="24"/>
        </w:rPr>
        <w:t xml:space="preserve">Источник: https://www.consultant.ru/document/cons_doc_LAW_39331/</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 ред. Федерального закона от 28.12.2013 N 410-ФЗ)</w:t>
      </w:r>
    </w:p>
    <w:p>
      <w:pPr>
        <w:spacing w:after="120"/>
        <w:ind w:firstLine="709"/>
      </w:pPr>
      <w:r>
        <w:rPr>
          <w:sz w:val="24"/>
        </w:rPr>
        <w:t xml:space="preserve">(см. текст в предыдущей редакции )</w:t>
      </w:r>
    </w:p>
    <w:p>
      <w:pPr>
        <w:spacing w:after="120"/>
        <w:ind w:firstLine="709"/>
      </w:pPr>
      <w:r>
        <w:rPr>
          <w:sz w:val="24"/>
        </w:rPr>
        <w:t xml:space="preserve">(введена Федеральным законом от 22.04.2010 N 65-ФЗ)</w:t>
      </w:r>
    </w:p>
    <w:p>
      <w:pPr>
        <w:spacing w:after="120"/>
        <w:ind w:firstLine="709"/>
      </w:pPr>
      <w:r>
        <w:rPr>
          <w:sz w:val="24"/>
        </w:rPr>
        <w:t xml:space="preserve">1. Утратил силу с 1 января 2014 года. - Федеральный закон от 28.12.2013 N 410-ФЗ.</w:t>
      </w:r>
    </w:p>
    <w:p>
      <w:pPr>
        <w:spacing w:after="120"/>
        <w:ind w:firstLine="709"/>
      </w:pPr>
      <w:r>
        <w:rPr>
          <w:sz w:val="24"/>
        </w:rPr>
        <w:t xml:space="preserve">(см. текст в предыдущей редакции )</w:t>
      </w:r>
    </w:p>
    <w:p>
      <w:pPr>
        <w:spacing w:after="120"/>
        <w:ind w:firstLine="709"/>
      </w:pPr>
      <w:r>
        <w:rPr>
          <w:sz w:val="24"/>
        </w:rPr>
        <w:t xml:space="preserve">2. Средства пенсионных резервов не включаются в конкурсную массу и используются только на цели, предусмотренные пунктом 7 статьи 186.4 настоящего Федерального закона, за исключением случая, установленного пунктом 3 статьи 186.7 настоящего Федерального закона.</w:t>
      </w:r>
    </w:p>
    <w:p>
      <w:pPr>
        <w:spacing w:after="120"/>
        <w:ind w:firstLine="709"/>
      </w:pPr>
      <w:r>
        <w:rPr>
          <w:sz w:val="24"/>
        </w:rPr>
        <w:t xml:space="preserve">(в ред. Федерального закона от 28.12.2013 N 410-ФЗ)</w:t>
      </w:r>
    </w:p>
    <w:p>
      <w:pPr>
        <w:spacing w:after="120"/>
        <w:ind w:firstLine="709"/>
      </w:pPr>
      <w:r>
        <w:rPr>
          <w:sz w:val="24"/>
        </w:rPr>
        <w:t xml:space="preserve">(см. текст в предыдущей редакции )</w:t>
      </w:r>
    </w:p>
    <w:p>
      <w:pPr>
        <w:spacing w:after="120"/>
        <w:ind w:firstLine="709"/>
      </w:pPr>
      <w:r>
        <w:rPr>
          <w:sz w:val="24"/>
        </w:rPr>
        <w:t xml:space="preserve">Выкупные суммы подлежат выплате вкладчикам, участникам, правопреемникам участников негосударственного пенсионного фонда в соответствии с пенсионным договором или договором долгосрочных сбережений с учетом особенностей, установленных настоящей статьей.</w:t>
      </w:r>
    </w:p>
    <w:p>
      <w:pPr>
        <w:spacing w:after="120"/>
        <w:ind w:firstLine="709"/>
      </w:pPr>
      <w:r>
        <w:rPr>
          <w:sz w:val="24"/>
        </w:rPr>
        <w:t xml:space="preserve">(в ред. Федеральных законов от 28.12.2022 N 556-ФЗ , от 10.07.2023 N 299-ФЗ )</w:t>
      </w:r>
    </w:p>
    <w:p>
      <w:pPr>
        <w:spacing w:after="120"/>
        <w:ind w:firstLine="709"/>
      </w:pPr>
      <w:r>
        <w:rPr>
          <w:sz w:val="24"/>
        </w:rPr>
        <w:t xml:space="preserve">(см. текст в предыдущей редакции )</w:t>
      </w:r>
    </w:p>
    <w:p>
      <w:pPr>
        <w:spacing w:after="120"/>
        <w:ind w:firstLine="709"/>
      </w:pPr>
      <w:r>
        <w:rPr>
          <w:sz w:val="24"/>
        </w:rPr>
        <w:t xml:space="preserve">Выкупные суммы могут быть переданы в качестве пенсионных взносов или сберегательных взносов в другие негосударственные пенсионные фонды, которые указаны вкладчиками, участниками, правопреемниками участников негосударственного пенсионного фонда и с которыми ими заключены договоры негосударственного пенсионного обеспечения или договоры долгосрочных сбережений.</w:t>
      </w:r>
    </w:p>
    <w:p>
      <w:pPr>
        <w:spacing w:after="120"/>
        <w:ind w:firstLine="709"/>
      </w:pPr>
      <w:r>
        <w:rPr>
          <w:sz w:val="24"/>
        </w:rPr>
        <w:t xml:space="preserve">(в ред. Федеральных законов от 28.12.2022 N 556-ФЗ , от 10.07.2023 N 299-ФЗ )</w:t>
      </w:r>
    </w:p>
    <w:p>
      <w:pPr>
        <w:spacing w:after="120"/>
        <w:ind w:firstLine="709"/>
      </w:pPr>
      <w:r>
        <w:rPr>
          <w:sz w:val="24"/>
        </w:rPr>
        <w:t xml:space="preserve">(см. текст в предыдущей редакции )</w:t>
      </w:r>
    </w:p>
    <w:p>
      <w:pPr>
        <w:spacing w:after="120"/>
        <w:ind w:firstLine="709"/>
      </w:pPr>
      <w:r>
        <w:rPr>
          <w:sz w:val="24"/>
        </w:rPr>
        <w:t xml:space="preserve">Абзац утратил силу с 1 января 2023 года. - Федеральный закон от 28.12.2022 N 556-ФЗ.</w:t>
      </w:r>
    </w:p>
    <w:p>
      <w:pPr>
        <w:spacing w:after="120"/>
        <w:ind w:firstLine="709"/>
      </w:pPr>
      <w:r>
        <w:rPr>
          <w:sz w:val="24"/>
        </w:rPr>
        <w:t xml:space="preserve">(см. текст в предыдущей редакции )</w:t>
      </w:r>
    </w:p>
    <w:p>
      <w:pPr>
        <w:spacing w:after="120"/>
        <w:ind w:firstLine="709"/>
      </w:pPr>
      <w:r>
        <w:rPr>
          <w:sz w:val="24"/>
        </w:rPr>
        <w:t xml:space="preserve">Размер выкупной суммы для осуществления выплаты вкладчику, который в соответствии с условиями пенсионного договора или договора долгосрочных сбережений имел право обратиться за получением предусмотренной абзацем четвертым пункта 2 статьи 13 и пунктом 1 статьи 36.41 Федерального закона "О негосударственных пенсионных фондах" выкупной суммы по состоянию на дату наступления гарантийного случая в соответствии с Федеральным законом "О гарантировании прав участников негосударственных пенсионных фондов в рамках деятельности по негосударственному пенсионному обеспечению и формированию долгосрочных сбережений", рассчитывается на указанную дату как положительная разница между размером выкупной суммы, определенной в соответствии с пенсионными правилами негосударственного пенсионного фонда и пенсионным договором либо правилами формирования долгосрочных сбережений негосударственного пенсионного фонда и договором долгосрочных сбережений и указанной в реестре обязательств негосударственного пенсионного фонда перед участниками, правопреемниками участников, формируемом в соответствии с Федеральным законом "О гарантировании прав участников негосударственных пенсионных фондов в рамках деятельности по негосударственному пенсионному обеспечению и формированию долгосрочных сбережений", и размером гарантийного возмещения, подлежащего выплате или переводу в другой негосударственный пенсионный фонд в отношении участника (участников) этого пенсионного договора или договора долгосрочных сбережений в соответствии со статьей 11 и частью 7 статьи 12 Федерального закона "О гарантировании прав участников негосударственных пенсионных фондов в рамках деятельности по негосударственному пенсионному обеспечению и формированию долгосрочных сбережений" и уменьшенного на сумму единовременных взносов, дополнительных стимулирующих взносов и результата их размещения, отраженных на счетах долгосрочных сбережений участника (участников) договора долгосрочных сбережений по состоянию на дату наступления гарантийного случая.</w:t>
      </w:r>
    </w:p>
    <w:p>
      <w:pPr>
        <w:spacing w:after="120"/>
        <w:ind w:firstLine="709"/>
      </w:pPr>
      <w:r>
        <w:rPr>
          <w:sz w:val="24"/>
        </w:rPr>
        <w:t xml:space="preserve">(в ред. Федерального закона от 10.07.2023 N 299-ФЗ)</w:t>
      </w:r>
    </w:p>
    <w:p>
      <w:pPr>
        <w:spacing w:after="120"/>
        <w:ind w:firstLine="709"/>
      </w:pPr>
      <w:r>
        <w:rPr>
          <w:sz w:val="24"/>
        </w:rPr>
        <w:t xml:space="preserve">(см. текст в предыдущей редакции )</w:t>
      </w:r>
    </w:p>
    <w:p>
      <w:pPr>
        <w:spacing w:after="120"/>
        <w:ind w:firstLine="709"/>
      </w:pPr>
      <w:r>
        <w:rPr>
          <w:sz w:val="24"/>
        </w:rPr>
        <w:t xml:space="preserve">Размер выкупной суммы для осуществления выплаты участнику, не являющемуся вкладчиком в свою пользу, который в соответствии с условиями пенсионного договора или договора долгосрочных сбережений имел право обратиться за получением предусмотренной абзацем пятым пункта 3 статьи 13 и пунктом 1 статьи 36.41 Федерального закона "О негосударственных пенсионных фондах" выкупной суммы по состоянию на дату наступления гарантийного случая в соответствии с Федеральным законом "О гарантировании прав участников негосударственных пенсионных фондов в рамках деятельности по негосударственному пенсионному обеспечению и формированию долгосрочных сбережений" и которому на дату наступления такого гарантийного случая не были назначены негосударственная пенсия, периодические выплаты или единовременная выплата по договору долгосрочных сбережений, рассчитывается на указанную дату как положительная разница между размером выкупной суммы, определенной в соответствии с пенсионными правилами негосударственного пенсионного фонда и пенсионным договором либо правилами формирования долгосрочных сбережений негосударственного пенсионного фонда и договором долгосрочных сбережений и указанной в реестре обязательств негосударственного пенсионного фонда перед участниками, правопреемниками участников, формируемом в соответствии с Федеральным законом "О гарантировании прав участников негосударственных пенсионных фондов в рамках деятельности по негосударственному пенсионному обеспечению и формированию долгосрочных сбережений", и размером гарантийного возмещения, подлежащего выплате или переводу в другой негосударственный пенсионный фонд в отношении такого участника по тому же пенсионному договору или договору долгосрочных сбережений в соответствии со статьей 11 и частью 7 статьи 12 Федерального закона "О гарантировании прав участников негосударственных пенсионных фондов в рамках деятельности по негосударственному пенсионному обеспечению и формированию долгосрочных сбережений" и уменьшенного на сумму единовременного взноса, дополнительных стимулирующих взносов и результата их размещения, отраженных на счете долгосрочных сбережений участника по состоянию на дату наступления гарантийного случая.</w:t>
      </w:r>
    </w:p>
    <w:p>
      <w:pPr>
        <w:spacing w:after="120"/>
        <w:ind w:firstLine="709"/>
      </w:pPr>
      <w:r>
        <w:rPr>
          <w:sz w:val="24"/>
        </w:rPr>
        <w:t xml:space="preserve">(в ред. Федерального закона от 10.07.2023 N 299-ФЗ)</w:t>
      </w:r>
    </w:p>
    <w:p>
      <w:pPr>
        <w:spacing w:after="120"/>
        <w:ind w:firstLine="709"/>
      </w:pPr>
      <w:r>
        <w:rPr>
          <w:sz w:val="24"/>
        </w:rPr>
        <w:t xml:space="preserve">(см. текст в предыдущей редакции )</w:t>
      </w:r>
    </w:p>
    <w:p>
      <w:pPr>
        <w:spacing w:after="120"/>
        <w:ind w:firstLine="709"/>
      </w:pPr>
      <w:r>
        <w:rPr>
          <w:sz w:val="24"/>
        </w:rPr>
        <w:t xml:space="preserve">Размер выкупной суммы для осуществления выплаты участнику, которому на дату наступления гарантийного случая в соответствии с Федеральным законом "О гарантировании прав участников негосударственных пенсионных фондов в рамках деятельности по негосударственному пенсионному обеспечению и формированию долгосрочных сбережений" были назначены негосударственная пенсия по пенсионному договору или периодические выплаты по договору долгосрочных сбережений, рассчитывается как положительная разница между общей величиной обязательств по выплате назначенной негосударственной пенсии такому участнику по указанному пенсионному договору или обязательств по осуществлению периодических выплат по договору долгосрочных сбережений, установленной по результатам актуарного оценивания деятельности негосударственного пенсионного фонда, проводимого в соответствии с Федеральным законом "О гарантировании прав участников негосударственных пенсионных фондов в рамках деятельности по негосударственному пенсионному обеспечению и формированию долгосрочных сбережений", и размером гарантийного возмещения, подлежащего переводу в другой негосударственный пенсионный фонд в отношении такого участника по тому же пенсионному договору или договору долгосрочных сбережений в соответствии с частью 1 статьи 12 Федерального закона "О гарантировании прав участников негосударственных пенсионных фондов в рамках деятельности по негосударственному пенсионному обеспечению и формированию долгосрочных сбережений".</w:t>
      </w:r>
    </w:p>
    <w:p>
      <w:pPr>
        <w:spacing w:after="120"/>
        <w:ind w:firstLine="709"/>
      </w:pPr>
      <w:r>
        <w:rPr>
          <w:sz w:val="24"/>
        </w:rPr>
        <w:t xml:space="preserve">(в ред. Федерального закона от 10.07.2023 N 299-ФЗ)</w:t>
      </w:r>
    </w:p>
    <w:p>
      <w:pPr>
        <w:spacing w:after="120"/>
        <w:ind w:firstLine="709"/>
      </w:pPr>
      <w:r>
        <w:rPr>
          <w:sz w:val="24"/>
        </w:rPr>
        <w:t xml:space="preserve">(см. текст в предыдущей редакции )</w:t>
      </w:r>
    </w:p>
    <w:p>
      <w:pPr>
        <w:spacing w:after="120"/>
        <w:ind w:firstLine="709"/>
      </w:pPr>
      <w:r>
        <w:rPr>
          <w:sz w:val="24"/>
        </w:rPr>
        <w:t xml:space="preserve">Размер выкупной суммы для осуществления выплаты участнику, правопреемнику участника негосударственного пенсионного фонда, которым на дату наступления гарантийного случая в соответствии с Федеральным законом "О гарантировании прав участников негосударственных пенсионных фондов в рамках деятельности по негосударственному пенсионному обеспечению и формированию долгосрочных сбережений" была установлена, но не выплачена выкупная сумма в соответствии с условиями пенсионного договора или договора долгосрочных сбережений либо единовременная выплата по договору долгосрочных сбережений, рассчитывается как положительная разница между этой невыплаченной выкупной суммой или единовременной выплатой по договору долгосрочных сбережений, указанной в реестре обязательств негосударственного пенсионного фонда перед участниками, правопреемниками участников, формируемом в соответствии с Федеральным законом "О гарантировании прав участников негосударственных пенсионных фондов в рамках деятельности по негосударственному пенсионному обеспечению и формированию долгосрочных сбережений", и размером гарантийного возмещения, подлежащего выплате или переводу в другой негосударственный пенсионный фонд в отношении таких участника, правопреемника участника негосударственного пенсионного фонда по тому же пенсионному договору или договору долгосрочных сбережений в соответствии со статьей 11 Федерального закона "О гарантировании прав участников негосударственных пенсионных фондов в рамках деятельности по негосударственному пенсионному обеспечению и формированию долгосрочных сбережений".</w:t>
      </w:r>
    </w:p>
    <w:p>
      <w:pPr>
        <w:spacing w:after="120"/>
        <w:ind w:firstLine="709"/>
      </w:pPr>
      <w:r>
        <w:rPr>
          <w:sz w:val="24"/>
        </w:rPr>
        <w:t xml:space="preserve">(в ред. Федерального закона от 10.07.2023 N 299-ФЗ)</w:t>
      </w:r>
    </w:p>
    <w:p>
      <w:pPr>
        <w:spacing w:after="120"/>
        <w:ind w:firstLine="709"/>
      </w:pPr>
      <w:r>
        <w:rPr>
          <w:sz w:val="24"/>
        </w:rPr>
        <w:t xml:space="preserve">(см. текст в предыдущей редакции )</w:t>
      </w:r>
    </w:p>
    <w:p>
      <w:pPr>
        <w:spacing w:after="120"/>
        <w:ind w:firstLine="709"/>
      </w:pPr>
      <w:r>
        <w:rPr>
          <w:sz w:val="24"/>
        </w:rPr>
        <w:t xml:space="preserve">Порядок осуществления выплаты выкупной суммы или ее передачи в соответствующий негосударственный пенсионный фонд в соответствии с настоящей статьей устанавливается контрольным органом.</w:t>
      </w:r>
    </w:p>
    <w:p>
      <w:pPr>
        <w:spacing w:after="120"/>
        <w:ind w:firstLine="709"/>
      </w:pPr>
      <w:r>
        <w:rPr>
          <w:sz w:val="24"/>
        </w:rPr>
        <w:t xml:space="preserve">(в ред. Федерального закона от 23.07.2013 N 251-ФЗ)</w:t>
      </w:r>
    </w:p>
    <w:p>
      <w:pPr>
        <w:spacing w:after="120"/>
        <w:ind w:firstLine="709"/>
      </w:pPr>
      <w:r>
        <w:rPr>
          <w:sz w:val="24"/>
        </w:rPr>
        <w:t xml:space="preserve">(см. текст в предыдущей редакции )</w:t>
      </w:r>
    </w:p>
    <w:p>
      <w:pPr>
        <w:spacing w:after="120"/>
        <w:ind w:firstLine="709"/>
      </w:pPr>
      <w:r>
        <w:rPr>
          <w:sz w:val="24"/>
        </w:rPr>
        <w:t xml:space="preserve">3. Утратил силу с 1 января 2023 года. - Федеральный закон от 28.12.2022 N 556-ФЗ.</w:t>
      </w:r>
    </w:p>
    <w:p>
      <w:pPr>
        <w:spacing w:after="120"/>
        <w:ind w:firstLine="709"/>
      </w:pPr>
      <w:r>
        <w:rPr>
          <w:sz w:val="24"/>
        </w:rPr>
        <w:t xml:space="preserve">(см. текст в предыдущей редакции )</w:t>
      </w:r>
    </w:p>
    <w:p>
      <w:pPr>
        <w:spacing w:after="120"/>
        <w:ind w:firstLine="709"/>
      </w:pPr>
      <w:r>
        <w:rPr>
          <w:sz w:val="24"/>
        </w:rPr>
        <w:t xml:space="preserve">4. На цели, указанные в пункте 2 настоящей статьи, могут быть использованы также средства объединенных гарантийных фондов, участником которых является негосударственный пенсионный фонд, выплаты по договорам страхования, обеспечивающим дополнительные гарантии исполнения обязательств такого фонда перед вкладчиками, участниками, правопреемниками участников негосударственного пенсионного фонда, и (или) выплаты из обществ взаимного страхования, участником которых является такой фонд.</w:t>
      </w:r>
    </w:p>
    <w:p>
      <w:pPr>
        <w:spacing w:after="120"/>
        <w:ind w:firstLine="709"/>
      </w:pPr>
      <w:r>
        <w:rPr>
          <w:sz w:val="24"/>
        </w:rPr>
        <w:t xml:space="preserve">(в ред. Федеральных законов от 28.12.2013 N 410-ФЗ , от 28.12.2022 N 556-ФЗ )</w:t>
      </w:r>
    </w:p>
    <w:p>
      <w:pPr>
        <w:spacing w:after="120"/>
        <w:ind w:firstLine="709"/>
      </w:pPr>
      <w:r>
        <w:rPr>
          <w:sz w:val="24"/>
        </w:rPr>
        <w:t xml:space="preserve">(см. текст в предыдущей редакции )</w:t>
      </w:r>
    </w:p>
    <w:p>
      <w:pPr>
        <w:spacing w:after="120"/>
        <w:ind w:firstLine="709"/>
      </w:pPr>
      <w:r>
        <w:rPr>
          <w:sz w:val="24"/>
        </w:rPr>
        <w:t xml:space="preserve">5. Если средств пенсионных резервов и иного предусмотренного настоящей статьей имущества недостаточно для исполнения указанных в настоящей статье обязанностей перед кредиторами негосударственного пенсионного фонда, оставшиеся неудовлетворенными требования данных кредиторов подлежат удовлетворению в порядке, установленном статьей 186.8 настоящего Федерального закона.</w:t>
      </w:r>
    </w:p>
    <w:p>
      <w:pPr>
        <w:spacing w:after="120"/>
        <w:ind w:firstLine="709"/>
      </w:pPr>
      <w:r>
        <w:rPr>
          <w:sz w:val="24"/>
        </w:rPr>
        <w:t xml:space="preserve">(в ред. Федерального закона от 28.12.2013 N 410-ФЗ)</w:t>
      </w:r>
    </w:p>
    <w:p>
      <w:pPr>
        <w:spacing w:after="120"/>
        <w:ind w:firstLine="709"/>
      </w:pPr>
      <w:r>
        <w:rPr>
          <w:sz w:val="24"/>
        </w:rPr>
        <w:t xml:space="preserve">(см. текст в предыдущей редакции )</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Закон о банкротстве, ст. 186.5</dc:title>
  <dc:creator>АРБИТРАЖ! · arbi.ru</dc:creator>
  <cp:lastModifiedBy>АРБИТРАЖ!</cp:lastModifiedBy>
  <dcterms:created xsi:type="dcterms:W3CDTF">2026-10-22T23:40:23.017Z</dcterms:created>
</cp:coreProperties>
</file>