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настоящим Федеральным законом, меры по предупреждению банкротства кредитной организации, предусмотренные подпунктами 1 - 3 пункта 1 статьи 189.9 настоящего Федерального закона, осуществляются в случаях, когда кредитная организация:</w:t>
      </w:r>
    </w:p>
    <w:p>
      <w:pPr>
        <w:spacing w:after="120"/>
        <w:ind w:firstLine="709"/>
      </w:pPr>
      <w:r>
        <w:rPr>
          <w:sz w:val="24"/>
        </w:rPr>
        <w:t xml:space="preserve">1) не удовлетворяет неоднократно на протяжении последних шести месяцев требования кредиторов (кредитора) по денежным обязательствам (обязательству) и (или) не исполняет обязанность по уплате обязательных платежей в срок до трех дней со дня наступления даты их исполнения в связи с отсутствием или недостаточностью денежных средств на корреспондентских счетах и счете цифрового рубля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 удовлетворяет требования кредиторов (кредитора) по денежным обязательствам (обязательству) и (или) не исполняет обязанность по уплате обязательных платежей в сроки, превышающие три дня с момента наступления даты их удовлетворения и (или) даты их исполнения, в связи с отсутствием или недостаточностью денежных средств на корреспондентских счетах и счете цифрового рубля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допускает абсолютное снижение величины собственных средств (капитала) по сравнению с их максимальной величиной, достигнутой за последние двенадцать месяцев, более чем на двадцать процентов при одновременном нарушении одного из обязательных нормативов, установленных Банком России;</w:t>
      </w:r>
    </w:p>
    <w:p>
      <w:pPr>
        <w:spacing w:after="120"/>
        <w:ind w:firstLine="709"/>
      </w:pPr>
      <w:r>
        <w:rPr>
          <w:sz w:val="24"/>
        </w:rPr>
        <w:t xml:space="preserve">4) нарушает любой из нормативов достаточности собственных средств (капитала) банка, установленный Банком России;</w:t>
      </w:r>
    </w:p>
    <w:p>
      <w:pPr>
        <w:spacing w:after="120"/>
        <w:ind w:firstLine="709"/>
      </w:pPr>
      <w:r>
        <w:rPr>
          <w:sz w:val="24"/>
        </w:rPr>
        <w:t xml:space="preserve">5) нарушает норматив текущей ликвидности кредитной организации, установленный Банком России, в течение последнего месяца более чем на десять процентов;</w:t>
      </w:r>
    </w:p>
    <w:p>
      <w:pPr>
        <w:spacing w:after="120"/>
        <w:ind w:firstLine="709"/>
      </w:pPr>
      <w:r>
        <w:rPr>
          <w:sz w:val="24"/>
        </w:rPr>
        <w:t xml:space="preserve">6) допускает уменьшение величины собственных средств (капитала) по итогам отчетного месяца до уровня ниже размера уставного капитала, определенного учредительными документами кредитной организации, зарегистрированными в порядке, установленном федеральными законами и принимаемыми в соответствии с ними нормативными актами Банка России. В случае возникновения указанного основания в течение первых двух лет со дня выдачи лицензии на осуществление банковских операций к кредитной организации не применяются меры по предупреждению банкротства.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</dc:title>
  <dc:creator>АРБИТРАЖ! · arbi.ru</dc:creator>
  <cp:lastModifiedBy>АРБИТРАЖ!</cp:lastModifiedBy>
  <dcterms:created xsi:type="dcterms:W3CDTF">2026-10-22T19:05:16.773Z</dcterms:created>
</cp:coreProperties>
</file>