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189.14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целях финансового оздоровления кредитной организации могут осуществляться следующие меры:</w:t>
      </w:r>
    </w:p>
    <w:p>
      <w:pPr>
        <w:spacing w:after="120"/>
        <w:ind w:firstLine="709"/>
      </w:pPr>
      <w:r>
        <w:rPr>
          <w:sz w:val="24"/>
        </w:rPr>
        <w:t xml:space="preserve">1) оказание финансовой помощи кредитной организации ее учредителями (участниками) и иными лицами;</w:t>
      </w:r>
    </w:p>
    <w:p>
      <w:pPr>
        <w:spacing w:after="120"/>
        <w:ind w:firstLine="709"/>
      </w:pPr>
      <w:r>
        <w:rPr>
          <w:sz w:val="24"/>
        </w:rPr>
        <w:t xml:space="preserve">2) изменение структуры активов и структуры пассивов кредитной организации;</w:t>
      </w:r>
    </w:p>
    <w:p>
      <w:pPr>
        <w:spacing w:after="120"/>
        <w:ind w:firstLine="709"/>
      </w:pPr>
      <w:r>
        <w:rPr>
          <w:sz w:val="24"/>
        </w:rPr>
        <w:t xml:space="preserve">3) изменение организационной структуры кредитной организации;</w:t>
      </w:r>
    </w:p>
    <w:p>
      <w:pPr>
        <w:spacing w:after="120"/>
        <w:ind w:firstLine="709"/>
      </w:pPr>
      <w:r>
        <w:rPr>
          <w:sz w:val="24"/>
        </w:rPr>
        <w:t xml:space="preserve">4) приведение в соответствие размера уставного капитала кредитной организации и величины ее собственных средств (капитала);</w:t>
      </w:r>
    </w:p>
    <w:p>
      <w:pPr>
        <w:spacing w:after="120"/>
        <w:ind w:firstLine="709"/>
      </w:pPr>
      <w:r>
        <w:rPr>
          <w:sz w:val="24"/>
        </w:rPr>
        <w:t xml:space="preserve">5) иные меры, осуществляемые в соответствии с федеральными законами.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189.14</dc:title>
  <dc:creator>АРБИТРАЖ! · arbi.ru</dc:creator>
  <cp:lastModifiedBy>АРБИТРАЖ!</cp:lastModifiedBy>
  <dcterms:created xsi:type="dcterms:W3CDTF">2026-10-22T17:25:07.892Z</dcterms:created>
</cp:coreProperties>
</file>