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Финансовая помощь кредитной организации ее учредителями (участниками) и иными лицами может быть оказана в форме:</w:t>
      </w:r>
    </w:p>
    <w:p>
      <w:pPr>
        <w:spacing w:after="120"/>
        <w:ind w:firstLine="709"/>
      </w:pPr>
      <w:r>
        <w:rPr>
          <w:sz w:val="24"/>
        </w:rPr>
        <w:t xml:space="preserve">1) размещения денежных средств на депозите в кредитной организации со сроком возврата не менее чем через шесть месяцев и с начислением процентов по ставке, не превышающей процентной ставки рефинансирования Банка России;</w:t>
      </w:r>
    </w:p>
    <w:p>
      <w:pPr>
        <w:spacing w:after="120"/>
        <w:ind w:firstLine="709"/>
      </w:pPr>
      <w:r>
        <w:rPr>
          <w:sz w:val="24"/>
        </w:rPr>
        <w:t xml:space="preserve">2) предоставления поручительств (банковских гарантий) по кредитам для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3) предоставления отсрочки и (или) рассрочки платежа;</w:t>
      </w:r>
    </w:p>
    <w:p>
      <w:pPr>
        <w:spacing w:after="120"/>
        <w:ind w:firstLine="709"/>
      </w:pPr>
      <w:r>
        <w:rPr>
          <w:sz w:val="24"/>
        </w:rPr>
        <w:t xml:space="preserve">4) перевода долга кредитной организации с согласия ее кредиторов;</w:t>
      </w:r>
    </w:p>
    <w:p>
      <w:pPr>
        <w:spacing w:after="120"/>
        <w:ind w:firstLine="709"/>
      </w:pPr>
      <w:r>
        <w:rPr>
          <w:sz w:val="24"/>
        </w:rPr>
        <w:t xml:space="preserve">5) отказа от распределения прибыли кредитной организации в качестве дивидендов и направление ее на осуществление мер по финансовому оздоровлению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6) дополнительного взноса в уставный капитал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7) прощения долга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8) новации и иных формах, способствующих устранению причин, вызвавших необходимость принятия мер по финансовому оздоровлению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Денежные средства на банковских счетах и во вкладах в кредитной организации могут быть использованы ее кредиторами для увеличения уставного капитала кредитной организации в порядке, установленном Банком России.</w:t>
      </w:r>
    </w:p>
    <w:p>
      <w:pPr>
        <w:spacing w:after="120"/>
        <w:ind w:firstLine="709"/>
      </w:pPr>
      <w:r>
        <w:rPr>
          <w:sz w:val="24"/>
        </w:rPr>
        <w:t xml:space="preserve">3. Решение о формах и об условиях оказания финансовой помощи кредитной организации принимается самой кредитной организацией и лицом, оказывающим ей финансовую помощь.</w:t>
      </w:r>
    </w:p>
    <w:p>
      <w:pPr>
        <w:spacing w:after="120"/>
        <w:ind w:firstLine="709"/>
      </w:pPr>
      <w:r>
        <w:rPr>
          <w:sz w:val="24"/>
        </w:rPr>
        <w:t xml:space="preserve">4. В случае оказания Банком России или Агентством финансовой помощи банку или лицам, приобретающим акции (доли в уставном капитале) банка в порядке осуществления мер по предупреждению банкротства банка, формы и условия оказания финансовой помощи определяются в плане участия Банка России или Агентства в осуществлении мер по предупреждению банкротства банка, утвержденном в порядке, установленном статьей 189.49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222-ФЗ , от 01.05.2017 N 84-ФЗ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189.15</dc:title>
  <dc:creator>АРБИТРАЖ! · arbi.ru</dc:creator>
  <cp:lastModifiedBy>АРБИТРАЖ!</cp:lastModifiedBy>
  <dcterms:created xsi:type="dcterms:W3CDTF">2026-10-23T00:43:07.446Z</dcterms:created>
</cp:coreProperties>
</file>