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Изменение организационной структуры кредитной организации может осуществляться посредством:</w:t>
      </w:r>
    </w:p>
    <w:p>
      <w:pPr>
        <w:spacing w:after="120"/>
        <w:ind w:firstLine="709"/>
      </w:pPr>
      <w:r>
        <w:rPr>
          <w:sz w:val="24"/>
        </w:rPr>
        <w:t xml:space="preserve">1) изменения состава и численности сотрудников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2) изменения структуры, сокращения и ликвидации обособленных и иных структурных подразделений кредитной организации, а также иными способами, способствующими устранению причин, вызвавших необходимость осуществления мер по финансовому оздоровлению кредитной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189.18</dc:title>
  <dc:creator>АРБИТРАЖ! · arbi.ru</dc:creator>
  <cp:lastModifiedBy>АРБИТРАЖ!</cp:lastModifiedBy>
  <dcterms:created xsi:type="dcterms:W3CDTF">2026-10-22T22:34:41.780Z</dcterms:created>
</cp:coreProperties>
</file>