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189.19</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устранены исполнительными органами кредитной организации.</w:t>
      </w:r>
    </w:p>
    <w:p>
      <w:pPr>
        <w:spacing w:after="120"/>
        <w:ind w:firstLine="709"/>
      </w:pPr>
      <w:r>
        <w:rPr>
          <w:sz w:val="24"/>
        </w:rPr>
        <w:t xml:space="preserve">2. Ходатайство руководителя кредитной организации об осуществлении мер по финансовому оздоровлению кредитной организации или ходатайство о реорганизации кредитной организации должно содержать рекомендации о формах, характере и сроках их осуществления.</w:t>
      </w:r>
    </w:p>
    <w:p>
      <w:pPr>
        <w:spacing w:after="120"/>
        <w:ind w:firstLine="709"/>
      </w:pPr>
      <w:r>
        <w:rPr>
          <w:sz w:val="24"/>
        </w:rPr>
        <w:t xml:space="preserve">3. 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w:t>
      </w:r>
    </w:p>
    <w:p>
      <w:pPr>
        <w:spacing w:after="120"/>
        <w:ind w:firstLine="709"/>
      </w:pPr>
      <w:r>
        <w:rPr>
          <w:sz w:val="24"/>
        </w:rPr>
        <w:t xml:space="preserve">4. Руководитель кредитной организации в течение трех дней со дня истечения срока, установленного пунктом 3 настоящей статьи, обязан обратиться в Банк России с ходатайством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решение в отношении ходатайства об осуществлении мер по предупреждению банкротства в срок, установленный пунктом 3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когда необходимость проведения такого собрания вытекает из существа мер по предупреждению банкротства кредитной организации, или если учредители (участники) кредитной организации не приняли решение об осуществлении мер по предупреждению банкротства, когда необходимость такого решения вытекает из существа мер по предупреждению банкротства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189.19</dc:title>
  <dc:creator>АРБИТРАЖ! · arbi.ru</dc:creator>
  <cp:lastModifiedBy>АРБИТРАЖ!</cp:lastModifiedBy>
  <dcterms:created xsi:type="dcterms:W3CDTF">2026-10-22T20:20:07.035Z</dcterms:created>
</cp:coreProperties>
</file>