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189.21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установления оснований, предусмотренных статьей 189.10 настоящего Федерального закона, Банк России вправе потребовать от кредитной организации разработки и осуществления плана мер по финансовому оздоровлению.</w:t>
      </w:r>
    </w:p>
    <w:p>
      <w:pPr>
        <w:spacing w:after="120"/>
        <w:ind w:firstLine="709"/>
      </w:pPr>
      <w:r>
        <w:rPr>
          <w:sz w:val="24"/>
        </w:rPr>
        <w:t xml:space="preserve">2. План мер по финансовому оздоровлению кредитной организации должен в обязательном порядке содержать:</w:t>
      </w:r>
    </w:p>
    <w:p>
      <w:pPr>
        <w:spacing w:after="120"/>
        <w:ind w:firstLine="709"/>
      </w:pPr>
      <w:r>
        <w:rPr>
          <w:sz w:val="24"/>
        </w:rPr>
        <w:t xml:space="preserve">1) оценку финансового состояния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2) указание на формы и размеры участия учредителей (участников) кредитной организации и иных лиц в ее финансовом оздоровлении;</w:t>
      </w:r>
    </w:p>
    <w:p>
      <w:pPr>
        <w:spacing w:after="120"/>
        <w:ind w:firstLine="709"/>
      </w:pPr>
      <w:r>
        <w:rPr>
          <w:sz w:val="24"/>
        </w:rPr>
        <w:t xml:space="preserve">3) меры по сокращению расходов на содержание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4) меры по получению дополнительных доходов;</w:t>
      </w:r>
    </w:p>
    <w:p>
      <w:pPr>
        <w:spacing w:after="120"/>
        <w:ind w:firstLine="709"/>
      </w:pPr>
      <w:r>
        <w:rPr>
          <w:sz w:val="24"/>
        </w:rPr>
        <w:t xml:space="preserve">5) меры по возврату просроченной дебиторской задолженности;</w:t>
      </w:r>
    </w:p>
    <w:p>
      <w:pPr>
        <w:spacing w:after="120"/>
        <w:ind w:firstLine="709"/>
      </w:pPr>
      <w:r>
        <w:rPr>
          <w:sz w:val="24"/>
        </w:rPr>
        <w:t xml:space="preserve">6) меры по изменению организационной структуры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7) срок восстановления уровня достаточности собственных средств (капитала) и текущей ликвидности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3. Форма плана мер по финансовому оздоровлению кредитной организации устанавливается нормативным актом Банка России.</w:t>
      </w:r>
    </w:p>
    <w:p>
      <w:pPr>
        <w:spacing w:after="120"/>
        <w:ind w:firstLine="709"/>
      </w:pPr>
      <w:r>
        <w:rPr>
          <w:sz w:val="24"/>
        </w:rPr>
        <w:t xml:space="preserve">4. Порядок и сроки представления плана мер по финансовому оздоровлению кредитной организации, а также порядок и сроки осуществления контроля за его выполнением устанавливаются нормативными актами Банка России.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189.21</dc:title>
  <dc:creator>АРБИТРАЖ! · arbi.ru</dc:creator>
  <cp:lastModifiedBy>АРБИТРАЖ!</cp:lastModifiedBy>
  <dcterms:created xsi:type="dcterms:W3CDTF">2026-10-22T19:04:55.227Z</dcterms:created>
</cp:coreProperties>
</file>