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Банк России вправе назначить временную администрацию по управлению кредитной организацией, если:</w:t>
      </w:r>
    </w:p>
    <w:p>
      <w:pPr>
        <w:spacing w:after="120"/>
        <w:ind w:firstLine="709"/>
      </w:pPr>
      <w:r>
        <w:rPr>
          <w:sz w:val="24"/>
        </w:rPr>
        <w:t xml:space="preserve">1) кредитная организация не удовлетворяет требования кредиторов (кредитора) по денежным обязательствам (обязательству) и (или) не исполняет обязанность по уплате обязательных платежей в сроки, превышающие семь дней и более с момента наступления даты их удовлетворения и (или) исполнения, в связи с отсутствием или недостаточностью денежных средств на корреспондентских счетах и счете цифрового рубля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кредитная организация допускает снижение собственных средств (капитала) по сравнению с их максимальной величиной, достигнутой за последние двенадцать месяцев, более чем на тридцать процентов при одновременном нарушении одного из обязательных нормативов , установленных Банком России;</w:t>
      </w:r>
    </w:p>
    <w:p>
      <w:pPr>
        <w:spacing w:after="120"/>
        <w:ind w:firstLine="709"/>
      </w:pPr>
      <w:r>
        <w:rPr>
          <w:sz w:val="24"/>
        </w:rPr>
        <w:t xml:space="preserve">3) кредитная организация нарушает норматив текущей ликвидности , установленный Банком России, в течение последнего месяца более чем на двадцать процентов;</w:t>
      </w:r>
    </w:p>
    <w:p>
      <w:pPr>
        <w:spacing w:after="120"/>
        <w:ind w:firstLine="709"/>
      </w:pPr>
      <w:r>
        <w:rPr>
          <w:sz w:val="24"/>
        </w:rPr>
        <w:t xml:space="preserve">4) кредитная организация не исполняет требования Банка России о замене руководителя кредитной организации либо об осуществлении мер по финансовому оздоровлению или реорганизации кредитной организации в установленный срок;</w:t>
      </w:r>
    </w:p>
    <w:p>
      <w:pPr>
        <w:spacing w:after="120"/>
        <w:ind w:firstLine="709"/>
      </w:pPr>
      <w:r>
        <w:rPr>
          <w:sz w:val="24"/>
        </w:rPr>
        <w:t xml:space="preserve">5) в соответствии с Федеральным законом "О банках и банковской деятельности" имеются основания для отзыва у кредитной организации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6) Советом директоров Банка России утвержден план участия Банка России в осуществлении мер по предупреждению банкротства банка;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Комитетом банковского надзора Банка России (а в случае, предусмотренном абзацем вторым пункта 3 статьи 189.49 настоящего Федерального закона, также Советом директоров Банка России) утвержден план участия Агентства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01.05.2017 N 84-ФЗ)</w:t>
      </w:r>
    </w:p>
    <w:p>
      <w:pPr>
        <w:spacing w:after="120"/>
        <w:ind w:firstLine="709"/>
      </w:pPr>
      <w:r>
        <w:rPr>
          <w:sz w:val="24"/>
        </w:rPr>
        <w:t xml:space="preserve">2. Банк России обязан назначить временную администрацию по управлению кредитной организацией не позднее дня, следующего за днем отзыва у кредитной организации лицензии на осуществление банковских операций.</w:t>
      </w:r>
    </w:p>
    <w:p>
      <w:pPr>
        <w:spacing w:after="120"/>
        <w:ind w:firstLine="709"/>
      </w:pPr>
      <w:r>
        <w:rPr>
          <w:sz w:val="24"/>
        </w:rPr>
        <w:t xml:space="preserve">3. Акт Банка России о назначении временной администрации по управлению кредитной организацией включается Банком России в Единый федеральный реестр сведений о банкротстве не позднее следующего рабочего дня с даты принятия указанного акта и публикуется Банком России в "Вестнике Банка России" в течение десяти дней со дня его принятия.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189.26</dc:title>
  <dc:creator>АРБИТРАЖ! · arbi.ru</dc:creator>
  <cp:lastModifiedBy>АРБИТРАЖ!</cp:lastModifiedBy>
  <dcterms:created xsi:type="dcterms:W3CDTF">2026-10-22T22:46:02.780Z</dcterms:created>
</cp:coreProperties>
</file>