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189.44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Включение Банком России в Единый федеральный реестр сведений о банкротстве сведений, поступающих от временной администрации по управлению кредитной организацией, и сведений, документов, указанных в статьях 189.25 - 189.43 настоящего Федерального закона, осуществляется в течение пяти рабочих дней с момента поступления соответствующих сведений, документов в Банк России.</w:t>
      </w:r>
    </w:p>
    <w:p>
      <w:pPr>
        <w:spacing w:after="120"/>
        <w:ind w:firstLine="709"/>
      </w:pPr>
      <w:r>
        <w:rPr>
          <w:sz w:val="24"/>
        </w:rPr>
        <w:t xml:space="preserve">2. Включение Банком России указанных в статьях 189.25 - 189.43 настоящего Федерального закона сведений, документов в Единый федеральный реестр сведений о банкротстве осуществляется без взимания платы с Банка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189.44</dc:title>
  <dc:creator>АРБИТРАЖ! · arbi.ru</dc:creator>
  <cp:lastModifiedBy>АРБИТРАЖ!</cp:lastModifiedBy>
  <dcterms:created xsi:type="dcterms:W3CDTF">2026-10-22T23:05:02.807Z</dcterms:created>
</cp:coreProperties>
</file>