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189.46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получения требования Банка России о реорганизации кредитной организации единоличный исполнительный орган кредитной организации обязан в течение пяти дней со дня его получения обратиться в органы управления кредитной организации, указанные в пункте 1 статьи 189.19 настоящего Федерального закона, с ходатайством о необходимости реорганизации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Органы управления кредитной организации, указанные в статье 189.19 настоящего Федерального закона, обязаны в срок не позднее десяти дней со дня получения требования Банка России о реорганизации известить Банк России о принятом решении.</w:t>
      </w:r>
    </w:p>
    <w:p>
      <w:pPr>
        <w:spacing w:after="120"/>
        <w:ind w:firstLine="709"/>
      </w:pPr>
      <w:r>
        <w:rPr>
          <w:sz w:val="24"/>
        </w:rPr>
        <w:t xml:space="preserve">3. Требования к устойчивости кредитных организаций, возникающих при слиянии кредитных организаций, определяются нормативными актами Банка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189.46</dc:title>
  <dc:creator>АРБИТРАЖ! · arbi.ru</dc:creator>
  <cp:lastModifiedBy>АРБИТРАЖ!</cp:lastModifiedBy>
  <dcterms:created xsi:type="dcterms:W3CDTF">2026-10-22T06:41:55.614Z</dcterms:created>
</cp:coreProperties>
</file>