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урегулировании обязательств банка применяется передача имущества и обязательств банка иному банку, который будет являться приобретателем (далее - приобретатель).</w:t>
      </w:r>
    </w:p>
    <w:p>
      <w:pPr>
        <w:spacing w:after="120"/>
        <w:ind w:firstLine="709"/>
      </w:pPr>
      <w:r>
        <w:rPr>
          <w:sz w:val="24"/>
        </w:rPr>
        <w:t xml:space="preserve">2. Передача имущества и обязательств банка приобретателю предполагает возмездную передачу приобретателю имущества банка (в том числе имущественных прав), а в качестве встречного представления - исполнение приобретателем за банк полученных от него в порядке перевода долга обязательств перед кредиторами банка.</w:t>
      </w:r>
    </w:p>
    <w:p>
      <w:pPr>
        <w:spacing w:after="120"/>
        <w:ind w:firstLine="709"/>
      </w:pPr>
      <w:r>
        <w:rPr>
          <w:sz w:val="24"/>
        </w:rPr>
        <w:t xml:space="preserve">3. Передача имущества и обязательств банка осуществляется исходя из принципов добросовестности и разумности действий временной администрации по управлению банком, защиты прав и законных интересов кредиторов, в том числе минимизации их потерь при реализации ими своего права получить удовлетворение своих законных требований к банку, эквивалентности размера передаваемых обязательств стоимости передаваемого имущества, очередности и пропорциональности удовлетворения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Мероприятия по урегулированию обязательств банка осуществляются после отзыва лицензии на осуществление банковских операций Банком России на основании одобренного Комитетом банковского надзора Банка России и утвержденного Советом директоров Банка России плана участия Банка России в урегулировании обязательств банка или Агентством на основании согласованного Комитетом банковского надзора Банка России плана участия Агентства в урегулировании обязательств банка.</w:t>
      </w:r>
    </w:p>
    <w:p>
      <w:pPr>
        <w:spacing w:after="120"/>
        <w:ind w:firstLine="709"/>
      </w:pPr>
      <w:r>
        <w:rPr>
          <w:sz w:val="24"/>
        </w:rPr>
        <w:t xml:space="preserve">Порядок представления на рассмотрение Комитета банковского надзора Банка России и утверждение Совета директоров Банка России плана участия Банка России в урегулировании обязательств банка устанавливается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Порядок представления на рассмотрение Комитета банковского надзора Банка России плана участия Агентства в урегулировании обязательств банка устанавливается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План участия Банка России или Агентства в урегулировании обязательств банка, предусматривающий осуществление передачи имущества и обязательств банка, должен содержать сведения о составе передаваемого имущества и обязательств, цене передаваемого имущества и размере передаваемых обязательств, методах оценки такого имущества, а также о формах, размере и порядке возможного финансирования Банком России или Агентством предусмотренных соответствующим планом мероприятий участников урегулирования обязательств банка.</w:t>
      </w:r>
    </w:p>
    <w:p>
      <w:pPr>
        <w:spacing w:after="120"/>
        <w:ind w:firstLine="709"/>
      </w:pPr>
      <w:r>
        <w:rPr>
          <w:sz w:val="24"/>
        </w:rPr>
        <w:t xml:space="preserve">Финансирование Банком России мероприятий, предусмотренных планом участия Банка России в урегулировании обязательств банка, осуществляется за счет денежных средств, составляющих Фонд консолидации банковского сектора.</w:t>
      </w:r>
    </w:p>
    <w:p>
      <w:pPr>
        <w:spacing w:after="120"/>
        <w:ind w:firstLine="709"/>
      </w:pPr>
      <w:r>
        <w:rPr>
          <w:sz w:val="24"/>
        </w:rPr>
        <w:t xml:space="preserve">Мероприятия, предусмотренные планом участия Банка России в урегулировании обязательств банка, от имени Банка России осуществляет Управляющая компания.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План участия Банка России в урегулировании обязательств банка должен быть рассмотрен Комитетом банковского надзора Банка России и утвержден Советом директоров Банка России не позднее дня отзыва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План участия Агентства в урегулировании обязательств банка должен быть направлен Агентством в Банк России не позднее двадцати дней со дня принятия Агентством предложения Банка России об участии в урегулировании обязательств соответствующего банка либо со дня направления Агентством в Банк России решения об участии в урегулировании обязательств банка, в отношении которого Банком России было направлено предложение об участии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Банк России согласовывает план участия Агентства в урегулировании обязательств банка в порядке, предусмотренном для утверждения плана участия Агентства в осуществлении мер по предупреждению банкротства банка, при принятии решения об отзыве у банка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8. В случае принятия Банком России или Агентством решения об участии в урегулировании обязательств банка функции временной администрации по управлению банком, назначаемой в связи с отзывом у банка лицензии на осуществление банковских операций, возлагаются приказом Банка России на Управляющую компанию или Агентство. Управляющая компания или Агентство осуществляет функции и полномочия временной администрации по управлению банком через назначенных им из числа своих работников представителей, которые действуют на основании доверенности.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189.51</dc:title>
  <dc:creator>АРБИТРАЖ! · arbi.ru</dc:creator>
  <cp:lastModifiedBy>АРБИТРАЖ!</cp:lastModifiedBy>
  <dcterms:created xsi:type="dcterms:W3CDTF">2026-10-22T19:29:48.327Z</dcterms:created>
</cp:coreProperties>
</file>