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о передаче имущества и обязательств банка в качестве последствия возможной передачи приобретателю имущества ненадлежащего качества может быть предусмотрен последующий возврат банком такого имущества с компенсацией его стоимости приобретателю (далее - обратная передача).</w:t>
      </w:r>
    </w:p>
    <w:p>
      <w:pPr>
        <w:spacing w:after="120"/>
        <w:ind w:firstLine="709"/>
      </w:pPr>
      <w:r>
        <w:rPr>
          <w:sz w:val="24"/>
        </w:rPr>
        <w:t xml:space="preserve">Обратная передача может быть осуществлена не позднее чем через год после подписания соответствующего договора о передаче имущества и обязательств банка. В таком договоре должна быть определена предельная величина стоимости имущества, которое может быть возвращено в порядке обратной передачи.</w:t>
      </w:r>
    </w:p>
    <w:p>
      <w:pPr>
        <w:spacing w:after="120"/>
        <w:ind w:firstLine="709"/>
      </w:pPr>
      <w:r>
        <w:rPr>
          <w:sz w:val="24"/>
        </w:rPr>
        <w:t xml:space="preserve">2. Банк России или Агентство вправе исполнить за банк его обязательство по компенсации приобретателю стоимости имущества, возвращаемого в порядке обратной передачи.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Банку России или Агентству, исполнившему за банк обязательства последнего по компенсации приобретателю стоимости возвращенного в порядке обратной передачи имущества, переходит право требования к банку в пределах уплаченной приобретателю суммы. В ходе конкурсного производства (ликвидации) банка указанное требование удовлетворяется в составе первой очереди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Банк России или Агентство вправе предоставить приобретателю заем на срок не более пяти лет. При этом размер остатка задолженности приобретателя по займу, размер компенсации стоимости возвращенного в порядке обратной передачи имущества, которая может быть уплачена Банком России или Агентством приобретателю, в совокупности не могут превышать размер всех переданных приобретателю обязательств банка, а размер такой компенсации не может превышать размер займа.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соглашению Банка России или Агентства и приобретателя обязательства Банка России или Агентства по компенсации приобретателю стоимости имущества, возвращаемого в порядке обратной передачи, прекращаются зачетом встречных требований Банка России или Агентства (их части) к приобретателю по договору займа.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189.55</dc:title>
  <dc:creator>АРБИТРАЖ! · arbi.ru</dc:creator>
  <cp:lastModifiedBy>АРБИТРАЖ!</cp:lastModifiedBy>
  <dcterms:created xsi:type="dcterms:W3CDTF">2026-10-22T19:06:37.556Z</dcterms:created>
</cp:coreProperties>
</file>