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об отказе в признании кредитной организации банкротом принимается в случае:</w:t>
      </w:r>
    </w:p>
    <w:p>
      <w:pPr>
        <w:spacing w:after="120"/>
        <w:ind w:firstLine="709"/>
      </w:pPr>
      <w:r>
        <w:rPr>
          <w:sz w:val="24"/>
        </w:rPr>
        <w:t xml:space="preserve">1) отсутствия признаков несостоятельности (банкротства), предусмотренных статьей 189.8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установления фиктивного банкротства, если заявление о признании кредитной организации банкротом подано самой кредитной организацией - должником.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арбитражным судом установлено отсутствие признаков несостоятельности (банкротства) или установлен факт фиктивного банкротства, кредитная организация подлежит принудительной ликвидации в соответствии с Федеральным законом "О банках и банковской деятельности".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189.69</dc:title>
  <dc:creator>АРБИТРАЖ! · arbi.ru</dc:creator>
  <cp:lastModifiedBy>АРБИТРАЖ!</cp:lastModifiedBy>
  <dcterms:created xsi:type="dcterms:W3CDTF">2026-10-22T23:29:33.251Z</dcterms:created>
</cp:coreProperties>
</file>