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189.73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Принятие арбитражным судом решения о признании кредитной организации банкротом влечет за собой открытие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2. Конкурсное производство вводится сроком на один год. Срок конкурсного производства может продлеваться по ходатайству лица, участвующего в деле о банкротстве, не более чем на шесть месяцев.</w:t>
      </w:r>
    </w:p>
    <w:p>
      <w:pPr>
        <w:spacing w:after="120"/>
        <w:ind w:firstLine="709"/>
      </w:pPr>
      <w:r>
        <w:rPr>
          <w:sz w:val="24"/>
        </w:rPr>
        <w:t xml:space="preserve">3. Определение арбитражного суда о продлении срока конкурсного производства подлежит немедленному исполнению и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189.73</dc:title>
  <dc:creator>АРБИТРАЖ! · arbi.ru</dc:creator>
  <cp:lastModifiedBy>АРБИТРАЖ!</cp:lastModifiedBy>
  <dcterms:created xsi:type="dcterms:W3CDTF">2026-10-22T19:06:21.840Z</dcterms:created>
</cp:coreProperties>
</file>